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 xml:space="preserve">МІНІСТЕРСТВО ОХОРОНИ ЗДОРОВ’Я УКРАЇНИ </w:t>
      </w:r>
    </w:p>
    <w:p w:rsidR="00012F54" w:rsidRPr="00012F54" w:rsidRDefault="00012F54" w:rsidP="00012F54">
      <w:pPr>
        <w:widowControl w:val="0"/>
        <w:spacing w:after="0" w:line="360" w:lineRule="auto"/>
        <w:ind w:firstLine="284"/>
        <w:jc w:val="center"/>
        <w:rPr>
          <w:rFonts w:ascii="Times New Roman" w:hAnsi="Times New Roman"/>
          <w:sz w:val="16"/>
          <w:szCs w:val="16"/>
          <w:lang w:val="uk-UA"/>
        </w:rPr>
      </w:pP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НАЦІОНАЛЬНА АКАДЕМІЯ МЕДИЧНИХ НАУК УКРАЇНИ</w:t>
      </w:r>
    </w:p>
    <w:p w:rsidR="00012F54" w:rsidRPr="00012F54" w:rsidRDefault="00012F54" w:rsidP="00012F54">
      <w:pPr>
        <w:widowControl w:val="0"/>
        <w:spacing w:after="0" w:line="360" w:lineRule="auto"/>
        <w:ind w:firstLine="284"/>
        <w:jc w:val="center"/>
        <w:rPr>
          <w:rFonts w:ascii="Times New Roman" w:hAnsi="Times New Roman"/>
          <w:sz w:val="16"/>
          <w:szCs w:val="16"/>
          <w:lang w:val="uk-UA"/>
        </w:rPr>
      </w:pP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ДЕРЖАВНА УСТАНОВА</w:t>
      </w: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«ІНСТИТУТ ФАРМАКОЛОГІЇ ТА ТОКСИКОЛОГІЇ НАМН УКРАЇНИ»</w:t>
      </w:r>
    </w:p>
    <w:p w:rsidR="00012F54" w:rsidRPr="00012F54" w:rsidRDefault="00012F54" w:rsidP="00012F54">
      <w:pPr>
        <w:widowControl w:val="0"/>
        <w:spacing w:after="0" w:line="360" w:lineRule="auto"/>
        <w:ind w:firstLine="284"/>
        <w:jc w:val="center"/>
        <w:rPr>
          <w:rFonts w:ascii="Times New Roman" w:hAnsi="Times New Roman"/>
          <w:sz w:val="16"/>
          <w:szCs w:val="16"/>
          <w:lang w:val="uk-UA"/>
        </w:rPr>
      </w:pPr>
    </w:p>
    <w:p w:rsidR="00012F54" w:rsidRPr="00012F54" w:rsidRDefault="00012F54" w:rsidP="00012F54">
      <w:pPr>
        <w:widowControl w:val="0"/>
        <w:spacing w:after="0" w:line="360" w:lineRule="auto"/>
        <w:ind w:left="5954"/>
        <w:rPr>
          <w:rFonts w:ascii="Times New Roman" w:hAnsi="Times New Roman"/>
          <w:sz w:val="28"/>
          <w:szCs w:val="28"/>
          <w:lang w:val="uk-UA" w:eastAsia="uk-UA"/>
        </w:rPr>
      </w:pPr>
      <w:r w:rsidRPr="00012F54">
        <w:rPr>
          <w:rFonts w:ascii="Times New Roman" w:hAnsi="Times New Roman"/>
          <w:sz w:val="28"/>
          <w:szCs w:val="28"/>
          <w:lang w:val="uk-UA" w:eastAsia="uk-UA"/>
        </w:rPr>
        <w:t xml:space="preserve">Кваліфікаційна наукова </w:t>
      </w:r>
    </w:p>
    <w:p w:rsidR="00012F54" w:rsidRPr="00012F54" w:rsidRDefault="00012F54" w:rsidP="00012F54">
      <w:pPr>
        <w:widowControl w:val="0"/>
        <w:spacing w:after="0" w:line="360" w:lineRule="auto"/>
        <w:ind w:left="5954"/>
        <w:rPr>
          <w:rFonts w:ascii="Times New Roman" w:hAnsi="Times New Roman"/>
          <w:sz w:val="28"/>
          <w:szCs w:val="28"/>
          <w:lang w:val="uk-UA" w:eastAsia="uk-UA"/>
        </w:rPr>
      </w:pPr>
      <w:r w:rsidRPr="00012F54">
        <w:rPr>
          <w:rFonts w:ascii="Times New Roman" w:hAnsi="Times New Roman"/>
          <w:sz w:val="28"/>
          <w:szCs w:val="28"/>
          <w:lang w:val="uk-UA" w:eastAsia="uk-UA"/>
        </w:rPr>
        <w:t>праця на правах рукопису</w:t>
      </w:r>
    </w:p>
    <w:p w:rsidR="00012F54" w:rsidRPr="00012F54" w:rsidRDefault="00012F54" w:rsidP="00012F54">
      <w:pPr>
        <w:widowControl w:val="0"/>
        <w:spacing w:after="0" w:line="360" w:lineRule="auto"/>
        <w:ind w:left="5954"/>
        <w:rPr>
          <w:rFonts w:ascii="Times New Roman" w:hAnsi="Times New Roman"/>
          <w:sz w:val="28"/>
          <w:szCs w:val="28"/>
          <w:lang w:val="uk-UA" w:eastAsia="uk-UA"/>
        </w:rPr>
      </w:pPr>
      <w:r w:rsidRPr="00012F54">
        <w:rPr>
          <w:rFonts w:ascii="Times New Roman" w:hAnsi="Times New Roman"/>
          <w:sz w:val="28"/>
          <w:szCs w:val="28"/>
          <w:lang w:val="uk-UA" w:eastAsia="uk-UA"/>
        </w:rPr>
        <w:t>Прим. №_____</w:t>
      </w:r>
    </w:p>
    <w:p w:rsidR="00012F54" w:rsidRPr="00012F54" w:rsidRDefault="00012F54" w:rsidP="00012F54">
      <w:pPr>
        <w:widowControl w:val="0"/>
        <w:spacing w:after="0" w:line="360" w:lineRule="auto"/>
        <w:ind w:firstLine="284"/>
        <w:rPr>
          <w:rFonts w:ascii="Times New Roman" w:hAnsi="Times New Roman"/>
          <w:sz w:val="16"/>
          <w:szCs w:val="16"/>
          <w:lang w:val="uk-UA" w:eastAsia="uk-UA"/>
        </w:rPr>
      </w:pPr>
    </w:p>
    <w:p w:rsidR="00012F54" w:rsidRPr="00012F54" w:rsidRDefault="00012F54" w:rsidP="00012F54">
      <w:pPr>
        <w:widowControl w:val="0"/>
        <w:spacing w:after="0" w:line="360" w:lineRule="auto"/>
        <w:ind w:firstLine="284"/>
        <w:jc w:val="center"/>
        <w:rPr>
          <w:rFonts w:ascii="Times New Roman" w:hAnsi="Times New Roman"/>
          <w:bCs/>
          <w:sz w:val="28"/>
          <w:szCs w:val="28"/>
          <w:lang w:val="uk-UA"/>
        </w:rPr>
      </w:pPr>
      <w:r w:rsidRPr="00012F54">
        <w:rPr>
          <w:rFonts w:ascii="Times New Roman" w:hAnsi="Times New Roman"/>
          <w:bCs/>
          <w:sz w:val="28"/>
          <w:szCs w:val="28"/>
          <w:lang w:val="uk-UA"/>
        </w:rPr>
        <w:t>ЖАБОЄДОВА НАТАЛІЯ ВАЛЕРІЇВНА</w:t>
      </w:r>
    </w:p>
    <w:p w:rsidR="00012F54" w:rsidRPr="00012F54" w:rsidRDefault="00012F54" w:rsidP="00012F54">
      <w:pPr>
        <w:widowControl w:val="0"/>
        <w:spacing w:after="0" w:line="360" w:lineRule="auto"/>
        <w:ind w:firstLine="284"/>
        <w:jc w:val="right"/>
        <w:rPr>
          <w:rFonts w:ascii="Times New Roman" w:hAnsi="Times New Roman"/>
          <w:sz w:val="28"/>
          <w:szCs w:val="28"/>
          <w:u w:val="single"/>
          <w:shd w:val="clear" w:color="auto" w:fill="FFFFFF"/>
          <w:lang w:val="uk-UA"/>
        </w:rPr>
      </w:pPr>
      <w:r w:rsidRPr="00012F54">
        <w:rPr>
          <w:rFonts w:ascii="Times New Roman" w:hAnsi="Times New Roman"/>
          <w:sz w:val="28"/>
          <w:szCs w:val="28"/>
          <w:u w:val="single"/>
          <w:lang w:val="uk-UA"/>
        </w:rPr>
        <w:t xml:space="preserve">УДК </w:t>
      </w:r>
      <w:r w:rsidRPr="00012F54">
        <w:rPr>
          <w:rFonts w:ascii="Times New Roman" w:hAnsi="Times New Roman"/>
          <w:sz w:val="28"/>
          <w:szCs w:val="28"/>
          <w:u w:val="single"/>
          <w:shd w:val="clear" w:color="auto" w:fill="FFFFFF"/>
          <w:lang w:val="uk-UA"/>
        </w:rPr>
        <w:t>615.216.8:617.7-001.3-005.4</w:t>
      </w:r>
    </w:p>
    <w:p w:rsidR="00012F54" w:rsidRPr="00012F54" w:rsidRDefault="00012F54" w:rsidP="00012F54">
      <w:pPr>
        <w:widowControl w:val="0"/>
        <w:spacing w:after="0" w:line="360" w:lineRule="auto"/>
        <w:ind w:firstLine="284"/>
        <w:jc w:val="center"/>
        <w:rPr>
          <w:rFonts w:ascii="Times New Roman" w:hAnsi="Times New Roman"/>
          <w:b/>
          <w:caps/>
          <w:sz w:val="28"/>
          <w:szCs w:val="28"/>
          <w:lang w:val="uk-UA"/>
        </w:rPr>
      </w:pPr>
      <w:r w:rsidRPr="00012F54">
        <w:rPr>
          <w:rFonts w:ascii="Times New Roman" w:hAnsi="Times New Roman"/>
          <w:b/>
          <w:caps/>
          <w:sz w:val="28"/>
          <w:szCs w:val="28"/>
          <w:lang w:val="uk-UA"/>
        </w:rPr>
        <w:t>Дисертація</w:t>
      </w:r>
    </w:p>
    <w:p w:rsidR="00012F54" w:rsidRPr="00012F54" w:rsidRDefault="00012F54" w:rsidP="00012F54">
      <w:pPr>
        <w:widowControl w:val="0"/>
        <w:spacing w:after="0" w:line="360" w:lineRule="auto"/>
        <w:ind w:firstLine="284"/>
        <w:jc w:val="center"/>
        <w:rPr>
          <w:rFonts w:ascii="Times New Roman" w:hAnsi="Times New Roman"/>
          <w:b/>
          <w:bCs/>
          <w:caps/>
          <w:sz w:val="16"/>
          <w:szCs w:val="16"/>
          <w:lang w:val="uk-UA"/>
        </w:rPr>
      </w:pPr>
    </w:p>
    <w:p w:rsidR="00012F54" w:rsidRPr="00012F54" w:rsidRDefault="00012F54" w:rsidP="00012F54">
      <w:pPr>
        <w:widowControl w:val="0"/>
        <w:spacing w:after="0" w:line="360" w:lineRule="auto"/>
        <w:ind w:firstLine="284"/>
        <w:jc w:val="center"/>
        <w:rPr>
          <w:rFonts w:ascii="Times New Roman" w:hAnsi="Times New Roman"/>
          <w:b/>
          <w:sz w:val="28"/>
          <w:szCs w:val="28"/>
          <w:lang w:val="uk-UA"/>
        </w:rPr>
      </w:pPr>
      <w:r w:rsidRPr="00012F54">
        <w:rPr>
          <w:rFonts w:ascii="Times New Roman" w:hAnsi="Times New Roman"/>
          <w:b/>
          <w:sz w:val="28"/>
          <w:szCs w:val="28"/>
        </w:rPr>
        <w:t xml:space="preserve">ЦЕРЕБРОПРОТЕКТОРНА АКТИВНІСТЬ АДЕМОЛУ ЗА УМОВ </w:t>
      </w:r>
      <w:r w:rsidRPr="00012F54">
        <w:rPr>
          <w:rFonts w:ascii="Times New Roman" w:hAnsi="Times New Roman"/>
          <w:b/>
          <w:sz w:val="28"/>
          <w:szCs w:val="28"/>
          <w:lang w:val="uk-UA"/>
        </w:rPr>
        <w:t xml:space="preserve">ЕКСПЕРИМЕНТАЛЬНОГО </w:t>
      </w:r>
      <w:r w:rsidRPr="00012F54">
        <w:rPr>
          <w:rFonts w:ascii="Times New Roman" w:hAnsi="Times New Roman"/>
          <w:b/>
          <w:sz w:val="28"/>
          <w:szCs w:val="28"/>
        </w:rPr>
        <w:t>ВНУТР</w:t>
      </w:r>
      <w:r w:rsidRPr="00012F54">
        <w:rPr>
          <w:rFonts w:ascii="Times New Roman" w:hAnsi="Times New Roman"/>
          <w:b/>
          <w:sz w:val="28"/>
          <w:szCs w:val="28"/>
          <w:lang w:val="uk-UA"/>
        </w:rPr>
        <w:t>ІШНЬОЧЕРЕПНОГО КРОВОВИЛИВУ</w:t>
      </w: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спеціальність 14.03.</w:t>
      </w:r>
      <w:r w:rsidRPr="00012F54">
        <w:rPr>
          <w:rFonts w:ascii="Times New Roman" w:hAnsi="Times New Roman"/>
          <w:sz w:val="28"/>
          <w:szCs w:val="28"/>
        </w:rPr>
        <w:t>0</w:t>
      </w:r>
      <w:r w:rsidRPr="00012F54">
        <w:rPr>
          <w:rFonts w:ascii="Times New Roman" w:hAnsi="Times New Roman"/>
          <w:sz w:val="28"/>
          <w:szCs w:val="28"/>
          <w:lang w:val="uk-UA"/>
        </w:rPr>
        <w:t>5 – фармакологія</w:t>
      </w:r>
    </w:p>
    <w:p w:rsidR="00012F54" w:rsidRPr="00012F54" w:rsidRDefault="00012F54" w:rsidP="00012F54">
      <w:pPr>
        <w:widowControl w:val="0"/>
        <w:spacing w:after="0" w:line="360" w:lineRule="auto"/>
        <w:ind w:firstLine="284"/>
        <w:jc w:val="center"/>
        <w:rPr>
          <w:rFonts w:ascii="Times New Roman" w:hAnsi="Times New Roman"/>
          <w:sz w:val="16"/>
          <w:szCs w:val="16"/>
          <w:lang w:val="uk-UA"/>
        </w:rPr>
      </w:pP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Подається на здобуття наукового ступеня кандидата медичних наук</w:t>
      </w:r>
    </w:p>
    <w:p w:rsidR="00012F54" w:rsidRPr="00012F54" w:rsidRDefault="00012F54" w:rsidP="00012F54">
      <w:pPr>
        <w:spacing w:after="160" w:line="259" w:lineRule="auto"/>
        <w:ind w:firstLine="284"/>
        <w:rPr>
          <w:rFonts w:ascii="Times New Roman" w:hAnsi="Times New Roman"/>
          <w:sz w:val="16"/>
          <w:szCs w:val="16"/>
          <w:lang w:val="uk-UA" w:eastAsia="uk-UA"/>
        </w:rPr>
      </w:pPr>
    </w:p>
    <w:p w:rsidR="00012F54" w:rsidRPr="00012F54" w:rsidRDefault="00012F54" w:rsidP="00012F54">
      <w:pPr>
        <w:spacing w:after="160" w:line="259" w:lineRule="auto"/>
        <w:ind w:firstLine="284"/>
        <w:jc w:val="center"/>
        <w:rPr>
          <w:rFonts w:ascii="Times New Roman" w:hAnsi="Times New Roman"/>
          <w:sz w:val="28"/>
          <w:szCs w:val="28"/>
          <w:lang w:val="uk-UA" w:eastAsia="uk-UA"/>
        </w:rPr>
      </w:pPr>
      <w:r w:rsidRPr="00012F54">
        <w:rPr>
          <w:rFonts w:ascii="Times New Roman" w:hAnsi="Times New Roman"/>
          <w:sz w:val="28"/>
          <w:szCs w:val="28"/>
          <w:lang w:val="uk-UA" w:eastAsia="uk-UA"/>
        </w:rPr>
        <w:t>Дисертація містить результати власних досліджень.</w:t>
      </w:r>
    </w:p>
    <w:p w:rsidR="00012F54" w:rsidRPr="00012F54" w:rsidRDefault="00012F54" w:rsidP="00012F54">
      <w:pPr>
        <w:spacing w:after="0" w:line="480" w:lineRule="auto"/>
        <w:ind w:firstLine="284"/>
        <w:jc w:val="both"/>
        <w:rPr>
          <w:rFonts w:ascii="Times New Roman" w:hAnsi="Times New Roman"/>
          <w:sz w:val="28"/>
          <w:szCs w:val="28"/>
          <w:lang w:val="uk-UA" w:eastAsia="uk-UA"/>
        </w:rPr>
      </w:pPr>
      <w:r w:rsidRPr="00012F54">
        <w:rPr>
          <w:rFonts w:ascii="Times New Roman" w:hAnsi="Times New Roman"/>
          <w:sz w:val="28"/>
          <w:szCs w:val="28"/>
          <w:lang w:val="uk-UA" w:eastAsia="uk-UA"/>
        </w:rPr>
        <w:t xml:space="preserve">Використання ідей, результатів і текстів інших авторів мають посилання на відповідне джерело___________________________________  </w:t>
      </w:r>
      <w:r w:rsidRPr="00012F54">
        <w:rPr>
          <w:rFonts w:ascii="Times New Roman" w:hAnsi="Times New Roman"/>
          <w:b/>
          <w:bCs/>
          <w:sz w:val="28"/>
          <w:szCs w:val="28"/>
          <w:u w:val="single"/>
          <w:lang w:val="uk-UA" w:eastAsia="uk-UA"/>
        </w:rPr>
        <w:t>Жабоєдова Н. В.</w:t>
      </w:r>
    </w:p>
    <w:p w:rsidR="00012F54" w:rsidRPr="00012F54" w:rsidRDefault="00012F54" w:rsidP="00012F54">
      <w:pPr>
        <w:widowControl w:val="0"/>
        <w:spacing w:after="0" w:line="360" w:lineRule="auto"/>
        <w:ind w:firstLine="284"/>
        <w:rPr>
          <w:rFonts w:ascii="Times New Roman" w:hAnsi="Times New Roman"/>
          <w:sz w:val="16"/>
          <w:szCs w:val="16"/>
          <w:lang w:val="uk-UA" w:eastAsia="uk-UA"/>
        </w:rPr>
      </w:pPr>
    </w:p>
    <w:p w:rsidR="00012F54" w:rsidRPr="00012F54" w:rsidRDefault="00012F54" w:rsidP="00012F54">
      <w:pPr>
        <w:widowControl w:val="0"/>
        <w:spacing w:after="0" w:line="360" w:lineRule="auto"/>
        <w:ind w:firstLine="284"/>
        <w:rPr>
          <w:rFonts w:ascii="Times New Roman" w:hAnsi="Times New Roman"/>
          <w:sz w:val="28"/>
          <w:szCs w:val="28"/>
          <w:lang w:val="uk-UA"/>
        </w:rPr>
      </w:pPr>
      <w:r w:rsidRPr="00012F54">
        <w:rPr>
          <w:rFonts w:ascii="Times New Roman" w:hAnsi="Times New Roman"/>
          <w:sz w:val="28"/>
          <w:szCs w:val="28"/>
          <w:lang w:val="uk-UA" w:eastAsia="uk-UA"/>
        </w:rPr>
        <w:t xml:space="preserve">Науковий керівник: </w:t>
      </w:r>
      <w:r w:rsidRPr="00012F54">
        <w:rPr>
          <w:rFonts w:ascii="Times New Roman" w:hAnsi="Times New Roman"/>
          <w:b/>
          <w:sz w:val="28"/>
          <w:szCs w:val="28"/>
          <w:lang w:val="uk-UA"/>
        </w:rPr>
        <w:t>Волощук Наталія Іванівна,</w:t>
      </w:r>
    </w:p>
    <w:p w:rsidR="00012F54" w:rsidRPr="00012F54" w:rsidRDefault="00012F54" w:rsidP="00012F54">
      <w:pPr>
        <w:widowControl w:val="0"/>
        <w:spacing w:after="0" w:line="360" w:lineRule="auto"/>
        <w:ind w:firstLine="284"/>
        <w:rPr>
          <w:rFonts w:ascii="Times New Roman" w:hAnsi="Times New Roman"/>
          <w:sz w:val="28"/>
          <w:szCs w:val="28"/>
          <w:lang w:val="uk-UA"/>
        </w:rPr>
      </w:pPr>
      <w:r w:rsidRPr="00012F54">
        <w:rPr>
          <w:rFonts w:ascii="Times New Roman" w:hAnsi="Times New Roman"/>
          <w:sz w:val="28"/>
          <w:szCs w:val="28"/>
          <w:lang w:val="uk-UA"/>
        </w:rPr>
        <w:t>доктор медичних наук, професор</w:t>
      </w:r>
      <w:bookmarkStart w:id="0" w:name="_Hlk485556187"/>
      <w:r w:rsidRPr="00012F54">
        <w:rPr>
          <w:rFonts w:ascii="Times New Roman" w:hAnsi="Times New Roman"/>
          <w:sz w:val="28"/>
          <w:szCs w:val="28"/>
          <w:lang w:val="uk-UA"/>
        </w:rPr>
        <w:t xml:space="preserve">, </w:t>
      </w:r>
    </w:p>
    <w:p w:rsidR="00012F54" w:rsidRPr="00012F54" w:rsidRDefault="00012F54" w:rsidP="00012F54">
      <w:pPr>
        <w:widowControl w:val="0"/>
        <w:spacing w:after="0" w:line="360" w:lineRule="auto"/>
        <w:ind w:firstLine="284"/>
        <w:rPr>
          <w:rFonts w:ascii="Times New Roman" w:hAnsi="Times New Roman"/>
          <w:sz w:val="28"/>
          <w:szCs w:val="28"/>
          <w:lang w:val="uk-UA"/>
        </w:rPr>
      </w:pPr>
      <w:r w:rsidRPr="00012F54">
        <w:rPr>
          <w:rFonts w:ascii="Times New Roman" w:hAnsi="Times New Roman"/>
          <w:sz w:val="28"/>
          <w:szCs w:val="28"/>
          <w:lang w:val="uk-UA"/>
        </w:rPr>
        <w:t>завідувач кафедри фармакології ВНМУ</w:t>
      </w:r>
    </w:p>
    <w:p w:rsidR="00012F54" w:rsidRPr="00012F54" w:rsidRDefault="00012F54" w:rsidP="00012F54">
      <w:pPr>
        <w:widowControl w:val="0"/>
        <w:shd w:val="clear" w:color="auto" w:fill="FFFFFF"/>
        <w:spacing w:after="0" w:line="360" w:lineRule="auto"/>
        <w:ind w:firstLine="284"/>
        <w:jc w:val="center"/>
        <w:textAlignment w:val="baseline"/>
        <w:rPr>
          <w:rFonts w:ascii="Times New Roman" w:hAnsi="Times New Roman"/>
          <w:sz w:val="28"/>
          <w:szCs w:val="28"/>
          <w:lang w:val="uk-UA"/>
        </w:rPr>
      </w:pPr>
    </w:p>
    <w:p w:rsidR="00012F54" w:rsidRPr="00012F54" w:rsidRDefault="00012F54" w:rsidP="00012F54">
      <w:pPr>
        <w:widowControl w:val="0"/>
        <w:shd w:val="clear" w:color="auto" w:fill="FFFFFF"/>
        <w:spacing w:after="0" w:line="360" w:lineRule="auto"/>
        <w:ind w:firstLine="284"/>
        <w:jc w:val="center"/>
        <w:textAlignment w:val="baseline"/>
        <w:rPr>
          <w:rFonts w:ascii="Times New Roman" w:hAnsi="Times New Roman"/>
          <w:sz w:val="28"/>
          <w:szCs w:val="28"/>
          <w:lang w:val="uk-UA"/>
        </w:rPr>
      </w:pPr>
      <w:r w:rsidRPr="00012F54">
        <w:rPr>
          <w:rFonts w:ascii="Times New Roman" w:hAnsi="Times New Roman"/>
          <w:sz w:val="28"/>
          <w:szCs w:val="28"/>
          <w:lang w:val="uk-UA"/>
        </w:rPr>
        <w:t>Київ – 2021</w:t>
      </w:r>
      <w:bookmarkEnd w:id="0"/>
    </w:p>
    <w:p w:rsidR="00012F54" w:rsidRPr="0069041A" w:rsidRDefault="00012F54">
      <w:pPr>
        <w:spacing w:after="160" w:line="259" w:lineRule="auto"/>
        <w:rPr>
          <w:rFonts w:ascii="Times New Roman" w:hAnsi="Times New Roman"/>
          <w:lang w:val="uk-UA"/>
        </w:rPr>
      </w:pPr>
      <w:r w:rsidRPr="0069041A">
        <w:rPr>
          <w:rFonts w:ascii="Times New Roman" w:hAnsi="Times New Roman"/>
          <w:lang w:val="uk-UA"/>
        </w:rPr>
        <w:br w:type="page"/>
      </w:r>
    </w:p>
    <w:p w:rsidR="00012F54" w:rsidRPr="00012F54" w:rsidRDefault="00012F54" w:rsidP="00B065B6">
      <w:pPr>
        <w:widowControl w:val="0"/>
        <w:spacing w:after="0" w:line="360" w:lineRule="auto"/>
        <w:ind w:firstLine="284"/>
        <w:jc w:val="center"/>
        <w:rPr>
          <w:rFonts w:ascii="Times New Roman" w:hAnsi="Times New Roman"/>
          <w:b/>
          <w:sz w:val="28"/>
          <w:szCs w:val="28"/>
          <w:lang w:val="uk-UA"/>
        </w:rPr>
      </w:pPr>
      <w:r w:rsidRPr="00012F54">
        <w:rPr>
          <w:rFonts w:ascii="Times New Roman" w:hAnsi="Times New Roman"/>
          <w:b/>
          <w:sz w:val="28"/>
          <w:szCs w:val="28"/>
          <w:lang w:val="uk-UA"/>
        </w:rPr>
        <w:lastRenderedPageBreak/>
        <w:t>АНОТАЦІЯ</w:t>
      </w:r>
    </w:p>
    <w:p w:rsidR="00012F54" w:rsidRPr="00012F54" w:rsidRDefault="00012F54" w:rsidP="00B065B6">
      <w:pPr>
        <w:widowControl w:val="0"/>
        <w:spacing w:after="0" w:line="360" w:lineRule="auto"/>
        <w:ind w:firstLine="284"/>
        <w:jc w:val="center"/>
        <w:rPr>
          <w:rFonts w:ascii="Times New Roman" w:hAnsi="Times New Roman"/>
          <w:b/>
          <w:sz w:val="28"/>
          <w:szCs w:val="28"/>
          <w:lang w:val="uk-UA"/>
        </w:rPr>
      </w:pPr>
    </w:p>
    <w:p w:rsidR="00012F54" w:rsidRPr="00012F54" w:rsidRDefault="00012F54" w:rsidP="00B065B6">
      <w:pPr>
        <w:widowControl w:val="0"/>
        <w:spacing w:after="0" w:line="360" w:lineRule="auto"/>
        <w:ind w:firstLine="284"/>
        <w:jc w:val="both"/>
        <w:rPr>
          <w:rFonts w:ascii="Times New Roman" w:hAnsi="Times New Roman"/>
          <w:bCs/>
          <w:sz w:val="28"/>
          <w:szCs w:val="28"/>
          <w:lang w:val="uk-UA"/>
        </w:rPr>
      </w:pPr>
      <w:r w:rsidRPr="00012F54">
        <w:rPr>
          <w:rFonts w:ascii="Times New Roman" w:hAnsi="Times New Roman"/>
          <w:i/>
          <w:iCs/>
          <w:sz w:val="28"/>
          <w:szCs w:val="28"/>
          <w:lang w:val="uk-UA"/>
        </w:rPr>
        <w:t xml:space="preserve">Жабоєдова Н. В. </w:t>
      </w:r>
      <w:r w:rsidRPr="00012F54">
        <w:rPr>
          <w:rFonts w:ascii="Times New Roman" w:hAnsi="Times New Roman"/>
          <w:sz w:val="28"/>
          <w:szCs w:val="28"/>
          <w:lang w:val="uk-UA"/>
        </w:rPr>
        <w:t>Церебропротекторна активність адемолу в умовах експериментального вн</w:t>
      </w:r>
      <w:r w:rsidR="00AE3B52">
        <w:rPr>
          <w:rFonts w:ascii="Times New Roman" w:hAnsi="Times New Roman"/>
          <w:sz w:val="28"/>
          <w:szCs w:val="28"/>
          <w:lang w:val="uk-UA"/>
        </w:rPr>
        <w:t>утрішньочерепного крововиливу.</w:t>
      </w:r>
      <w:r w:rsidR="00B0734B" w:rsidRPr="00B0734B">
        <w:rPr>
          <w:rFonts w:ascii="Times New Roman" w:hAnsi="Times New Roman"/>
          <w:sz w:val="28"/>
          <w:szCs w:val="28"/>
          <w:lang w:val="uk-UA"/>
        </w:rPr>
        <w:t>–</w:t>
      </w:r>
      <w:r w:rsidRPr="00012F54">
        <w:rPr>
          <w:rFonts w:ascii="Times New Roman" w:hAnsi="Times New Roman"/>
          <w:bCs/>
          <w:sz w:val="28"/>
          <w:szCs w:val="28"/>
          <w:lang w:val="uk-UA"/>
        </w:rPr>
        <w:t xml:space="preserve"> Кваліфікаційна наукова праця на правах рукопису.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Дисертація на здобуття наукового ступеня кандидата </w:t>
      </w:r>
      <w:r w:rsidR="00AE3B52">
        <w:rPr>
          <w:rFonts w:ascii="Times New Roman" w:hAnsi="Times New Roman"/>
          <w:sz w:val="28"/>
          <w:szCs w:val="28"/>
          <w:lang w:val="uk-UA"/>
        </w:rPr>
        <w:t>медичних наук</w:t>
      </w:r>
      <w:r w:rsidR="00311176">
        <w:rPr>
          <w:rFonts w:ascii="Times New Roman" w:hAnsi="Times New Roman"/>
          <w:sz w:val="28"/>
          <w:szCs w:val="28"/>
          <w:lang w:val="uk-UA"/>
        </w:rPr>
        <w:t xml:space="preserve"> за спеціальністю 14.03.05 – фармакологія.</w:t>
      </w:r>
      <w:r w:rsidRPr="00012F54">
        <w:rPr>
          <w:rFonts w:ascii="Times New Roman" w:hAnsi="Times New Roman"/>
          <w:sz w:val="28"/>
          <w:szCs w:val="28"/>
          <w:lang w:val="uk-UA"/>
        </w:rPr>
        <w:t xml:space="preserve"> – Вінницький національний медичний університет імені М. І. Пирогова, Вінниця, 2021.</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p>
    <w:p w:rsidR="00012F54" w:rsidRPr="00012F54" w:rsidRDefault="00012F54" w:rsidP="00B065B6">
      <w:pPr>
        <w:pStyle w:val="a5"/>
        <w:shd w:val="clear" w:color="auto" w:fill="FFFFFF"/>
        <w:tabs>
          <w:tab w:val="left" w:pos="-1080"/>
          <w:tab w:val="left" w:pos="0"/>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Судинна патологія</w:t>
      </w:r>
      <w:r w:rsidRPr="00012F54">
        <w:rPr>
          <w:rFonts w:ascii="Times New Roman" w:hAnsi="Times New Roman"/>
          <w:bCs/>
          <w:sz w:val="28"/>
          <w:szCs w:val="28"/>
          <w:lang w:val="uk-UA"/>
        </w:rPr>
        <w:t xml:space="preserve"> головного мозку є причиною високого ступеня інвалідизації та показником летальності хворих, переважна більшість котрих представлена працездатним населенням у всь</w:t>
      </w:r>
      <w:r w:rsidR="00690BA7">
        <w:rPr>
          <w:rFonts w:ascii="Times New Roman" w:hAnsi="Times New Roman"/>
          <w:bCs/>
          <w:sz w:val="28"/>
          <w:szCs w:val="28"/>
          <w:lang w:val="uk-UA"/>
        </w:rPr>
        <w:t>о</w:t>
      </w:r>
      <w:r w:rsidRPr="00012F54">
        <w:rPr>
          <w:rFonts w:ascii="Times New Roman" w:hAnsi="Times New Roman"/>
          <w:bCs/>
          <w:sz w:val="28"/>
          <w:szCs w:val="28"/>
          <w:lang w:val="uk-UA"/>
        </w:rPr>
        <w:t>му світі, в тому числі і в Україні. Наявний феномен глутаматноїексайтотоксичністі опосередкований патологічною гіперактивацією NMDA-рецепторів, є тригерним механізмом, ініціація якого представляє перспективний вектор для проведення первинної нейропротекторної терапії</w:t>
      </w:r>
      <w:r w:rsidRPr="00012F54">
        <w:rPr>
          <w:rFonts w:ascii="Times New Roman" w:hAnsi="Times New Roman"/>
          <w:sz w:val="28"/>
          <w:szCs w:val="28"/>
          <w:lang w:val="uk-UA"/>
        </w:rPr>
        <w:t>. При доклінічній оцінці органопротекторних властивостей одного із похідних адамантану</w:t>
      </w:r>
      <w:r w:rsidRPr="00012F54">
        <w:rPr>
          <w:rFonts w:ascii="Times New Roman" w:hAnsi="Times New Roman"/>
          <w:sz w:val="28"/>
          <w:szCs w:val="28"/>
          <w:lang w:val="uk-UA" w:eastAsia="uk-UA"/>
        </w:rPr>
        <w:t>–</w:t>
      </w:r>
      <w:r w:rsidRPr="00012F54">
        <w:rPr>
          <w:rFonts w:ascii="Times New Roman" w:hAnsi="Times New Roman"/>
          <w:sz w:val="28"/>
          <w:szCs w:val="28"/>
          <w:lang w:val="uk-UA"/>
        </w:rPr>
        <w:t>адемолу - ви</w:t>
      </w:r>
      <w:r w:rsidR="00900B43">
        <w:rPr>
          <w:rFonts w:ascii="Times New Roman" w:hAnsi="Times New Roman"/>
          <w:sz w:val="28"/>
          <w:szCs w:val="28"/>
          <w:lang w:val="uk-UA"/>
        </w:rPr>
        <w:t>я</w:t>
      </w:r>
      <w:r w:rsidRPr="00012F54">
        <w:rPr>
          <w:rFonts w:ascii="Times New Roman" w:hAnsi="Times New Roman"/>
          <w:sz w:val="28"/>
          <w:szCs w:val="28"/>
          <w:lang w:val="uk-UA"/>
        </w:rPr>
        <w:t>влено його модулювальний вплив на поліаміновий сайт NMDA-рецепторів, із швидкою кінетикою «блокади-деблокади». Фармакодинамічне досьє адемолу включає цілу низку активностей, а саме: а</w:t>
      </w:r>
      <w:r w:rsidR="00900B43">
        <w:rPr>
          <w:rFonts w:ascii="Times New Roman" w:hAnsi="Times New Roman"/>
          <w:sz w:val="28"/>
          <w:szCs w:val="28"/>
          <w:lang w:val="uk-UA"/>
        </w:rPr>
        <w:t>кто-, кардіо-, нейропротекторну</w:t>
      </w:r>
      <w:r w:rsidRPr="00012F54">
        <w:rPr>
          <w:rFonts w:ascii="Times New Roman" w:hAnsi="Times New Roman"/>
          <w:sz w:val="28"/>
          <w:szCs w:val="28"/>
          <w:lang w:val="uk-UA"/>
        </w:rPr>
        <w:t xml:space="preserve">, ноотропну, аналгетичну, </w:t>
      </w:r>
      <w:r w:rsidRPr="00012F54">
        <w:rPr>
          <w:rFonts w:ascii="Times New Roman" w:hAnsi="Times New Roman"/>
          <w:bCs/>
          <w:sz w:val="28"/>
          <w:szCs w:val="28"/>
          <w:lang w:val="uk-UA"/>
        </w:rPr>
        <w:t>антихолінестеразну, гангліоблокуючу, транквілізуючу та антиамнестичну</w:t>
      </w:r>
      <w:r w:rsidRPr="00012F54">
        <w:rPr>
          <w:rFonts w:ascii="Times New Roman" w:hAnsi="Times New Roman"/>
          <w:sz w:val="28"/>
          <w:szCs w:val="28"/>
          <w:lang w:val="uk-UA"/>
        </w:rPr>
        <w:t>. Експериментальними дослідженнями доведено органопро</w:t>
      </w:r>
      <w:r w:rsidR="00B20F5D">
        <w:rPr>
          <w:rFonts w:ascii="Times New Roman" w:hAnsi="Times New Roman"/>
          <w:sz w:val="28"/>
          <w:szCs w:val="28"/>
          <w:lang w:val="uk-UA"/>
        </w:rPr>
        <w:t>текторну ефективність адемолу при ішемічних ураженнях</w:t>
      </w:r>
      <w:r w:rsidRPr="00012F54">
        <w:rPr>
          <w:rFonts w:ascii="Times New Roman" w:hAnsi="Times New Roman"/>
          <w:sz w:val="28"/>
          <w:szCs w:val="28"/>
          <w:lang w:val="uk-UA"/>
        </w:rPr>
        <w:t xml:space="preserve"> головного мозку, серця, зорового аналізатора тощо</w:t>
      </w:r>
      <w:r w:rsidR="000D2823">
        <w:rPr>
          <w:rFonts w:ascii="Times New Roman" w:hAnsi="Times New Roman"/>
          <w:sz w:val="28"/>
          <w:szCs w:val="28"/>
          <w:lang w:val="uk-UA"/>
        </w:rPr>
        <w:t>; узагальнено складові механізми</w:t>
      </w:r>
      <w:r w:rsidRPr="00012F54">
        <w:rPr>
          <w:rFonts w:ascii="Times New Roman" w:hAnsi="Times New Roman"/>
          <w:sz w:val="28"/>
          <w:szCs w:val="28"/>
          <w:lang w:val="uk-UA"/>
        </w:rPr>
        <w:t xml:space="preserve"> його захисної дії, що включають метаболітотропні властивості та здатність протидіяти деструктивним процесам, таким як апоптоз, некроз, проліферація. </w:t>
      </w:r>
    </w:p>
    <w:p w:rsidR="00012F54" w:rsidRPr="00012F54" w:rsidRDefault="00012F54" w:rsidP="00B065B6">
      <w:pPr>
        <w:widowControl w:val="0"/>
        <w:tabs>
          <w:tab w:val="left" w:pos="567"/>
          <w:tab w:val="left" w:pos="993"/>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У дисертаційній роботі представлено нове розв’язання актуального завдання фармакології, що полягає у підвищенні ефективності нейропротекції в умовах внутрішньочерепного крововиливу на підставі експериментально обґрунтованої доцільності і можливості застосування за новим призначенням блокатора NMDA </w:t>
      </w:r>
      <w:r w:rsidR="000D2823">
        <w:rPr>
          <w:rFonts w:ascii="Times New Roman" w:hAnsi="Times New Roman"/>
          <w:sz w:val="28"/>
          <w:szCs w:val="28"/>
          <w:lang w:val="uk-UA"/>
        </w:rPr>
        <w:t xml:space="preserve">рецепторів 1,0 % розчину </w:t>
      </w:r>
      <w:r w:rsidRPr="00012F54">
        <w:rPr>
          <w:rFonts w:ascii="Times New Roman" w:hAnsi="Times New Roman"/>
          <w:sz w:val="28"/>
          <w:szCs w:val="28"/>
          <w:lang w:val="uk-UA"/>
        </w:rPr>
        <w:t>1-адамантил</w:t>
      </w:r>
      <w:r w:rsidR="000D2823">
        <w:rPr>
          <w:rFonts w:ascii="Times New Roman" w:hAnsi="Times New Roman"/>
          <w:sz w:val="28"/>
          <w:szCs w:val="28"/>
          <w:lang w:val="uk-UA"/>
        </w:rPr>
        <w:t>тилокси-3-морфоліно-2-пропанолу</w:t>
      </w:r>
      <w:r w:rsidR="00F7715E">
        <w:rPr>
          <w:rFonts w:ascii="Times New Roman" w:hAnsi="Times New Roman"/>
          <w:sz w:val="28"/>
          <w:szCs w:val="28"/>
          <w:lang w:val="uk-UA"/>
        </w:rPr>
        <w:t>-</w:t>
      </w:r>
      <w:r w:rsidRPr="00012F54">
        <w:rPr>
          <w:rFonts w:ascii="Times New Roman" w:hAnsi="Times New Roman"/>
          <w:sz w:val="28"/>
          <w:szCs w:val="28"/>
          <w:lang w:val="uk-UA"/>
        </w:rPr>
        <w:t xml:space="preserve">гідрохлориду (адемол).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lastRenderedPageBreak/>
        <w:t>Експерименти виконано на 1144 білих нелінійних статево зрілих щурах-самцях, віком 2,5-3 місяці із середньою масою тіла не менше 160 г (160–180 г). Дотримання етичних норм засвідчено комітетом з біоетики Вінницького національного медичного університету ім. М. І. Пирогова (протокол №3 від 25.05.2020).</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Порівняльну оцінку впливу промислового зразка 1,0 % розчину адемолу та референс-препаратів на виживаність, неврологічний статус, мнемотропну активність, функціональні показники мікроциркуляції, церебральної та центральної гемодинаміки, коливання внутрішньочерепного тиску (ВМК), біохімічні та морфоцитометричні зміни, проводили в умовах експериментального внутрішньочерепного крововиливу на прикладі внутрішньомозкового та субарахноїдального крововиливу. Перший відтворювали шляхом введення у внутрішню капсулу головного мозку (стереотаксичні координати проекції: Н=7,0 мм, L=3,0 мм, А=1,5 мм від брегми) аутокрові об’ємом 20 мкл/100 г, другий – ін'єкцією через катетер у субарахноїдальний простір (трепанаційний отвір локалізувався у місці аналогічному до попередньої моделі) гепариніз</w:t>
      </w:r>
      <w:r w:rsidR="008875DA">
        <w:rPr>
          <w:rFonts w:ascii="Times New Roman" w:hAnsi="Times New Roman"/>
          <w:sz w:val="28"/>
          <w:szCs w:val="28"/>
          <w:lang w:val="uk-UA"/>
        </w:rPr>
        <w:t>ованоїаутокрові в кількості 0,1</w:t>
      </w:r>
      <w:r w:rsidRPr="00012F54">
        <w:rPr>
          <w:rFonts w:ascii="Times New Roman" w:hAnsi="Times New Roman"/>
          <w:sz w:val="28"/>
          <w:szCs w:val="28"/>
          <w:lang w:val="uk-UA"/>
        </w:rPr>
        <w:t xml:space="preserve"> мл/кг.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Обидві моделі віддзеркалюють клінічну картину геморагічного інсульту, і є адекватними для доклінічного вивчення потенційних нейропротекторних речовин.</w:t>
      </w:r>
    </w:p>
    <w:p w:rsidR="00012F54" w:rsidRPr="00012F54" w:rsidRDefault="00012F54" w:rsidP="00B065B6">
      <w:pPr>
        <w:widowControl w:val="0"/>
        <w:spacing w:after="0" w:line="360" w:lineRule="auto"/>
        <w:ind w:firstLine="284"/>
        <w:jc w:val="both"/>
        <w:rPr>
          <w:rFonts w:ascii="Times New Roman" w:hAnsi="Times New Roman"/>
          <w:lang w:val="uk-UA"/>
        </w:rPr>
      </w:pPr>
      <w:r w:rsidRPr="00012F54">
        <w:rPr>
          <w:rFonts w:ascii="Times New Roman" w:hAnsi="Times New Roman"/>
          <w:sz w:val="28"/>
          <w:szCs w:val="28"/>
          <w:lang w:val="uk-UA"/>
        </w:rPr>
        <w:t>Для первинного скринінгу перспективних нейропротекторів використано моде</w:t>
      </w:r>
      <w:r w:rsidR="00BB09B8">
        <w:rPr>
          <w:rFonts w:ascii="Times New Roman" w:hAnsi="Times New Roman"/>
          <w:sz w:val="28"/>
          <w:szCs w:val="28"/>
          <w:lang w:val="uk-UA"/>
        </w:rPr>
        <w:t xml:space="preserve">ль, що за сукупністю критеріїв: </w:t>
      </w:r>
      <w:r w:rsidRPr="00012F54">
        <w:rPr>
          <w:rFonts w:ascii="Times New Roman" w:hAnsi="Times New Roman"/>
          <w:sz w:val="28"/>
          <w:szCs w:val="28"/>
          <w:lang w:val="uk-UA"/>
        </w:rPr>
        <w:t>летальність (виживаність), неврологічний дефіцит, нейромаркерна активність, пара</w:t>
      </w:r>
      <w:r w:rsidR="00933A7D">
        <w:rPr>
          <w:rFonts w:ascii="Times New Roman" w:hAnsi="Times New Roman"/>
          <w:sz w:val="28"/>
          <w:szCs w:val="28"/>
          <w:lang w:val="uk-UA"/>
        </w:rPr>
        <w:t>метри внутрішньочерепного тиску</w:t>
      </w:r>
      <w:r w:rsidRPr="00012F54">
        <w:rPr>
          <w:rFonts w:ascii="Times New Roman" w:hAnsi="Times New Roman"/>
          <w:sz w:val="28"/>
          <w:szCs w:val="28"/>
          <w:lang w:val="uk-UA"/>
        </w:rPr>
        <w:t>, дає змогу в критичний період інсульту (48 год) залежно від об’єму крові введеній у підпавутинний простір головного мозку щурів</w:t>
      </w:r>
      <w:r w:rsidR="00933A7D">
        <w:rPr>
          <w:rFonts w:ascii="Times New Roman" w:hAnsi="Times New Roman"/>
          <w:sz w:val="28"/>
          <w:szCs w:val="28"/>
          <w:lang w:val="uk-UA"/>
        </w:rPr>
        <w:t>,</w:t>
      </w:r>
      <w:r w:rsidRPr="00012F54">
        <w:rPr>
          <w:rFonts w:ascii="Times New Roman" w:hAnsi="Times New Roman"/>
          <w:sz w:val="28"/>
          <w:szCs w:val="28"/>
          <w:lang w:val="uk-UA"/>
        </w:rPr>
        <w:t xml:space="preserve"> класифікувати крововилив на три ступеня важкості. Встановлено, що субарахноїдальний крововилив (САК) тяжкого, середнього та легкого ступеня важкості, який відтворено при введенні у підпавутинний про</w:t>
      </w:r>
      <w:r w:rsidR="00933A7D">
        <w:rPr>
          <w:rFonts w:ascii="Times New Roman" w:hAnsi="Times New Roman"/>
          <w:sz w:val="28"/>
          <w:szCs w:val="28"/>
          <w:lang w:val="uk-UA"/>
        </w:rPr>
        <w:t>стір крові об’ємом</w:t>
      </w:r>
      <w:r w:rsidRPr="00012F54">
        <w:rPr>
          <w:rFonts w:ascii="Times New Roman" w:hAnsi="Times New Roman"/>
          <w:sz w:val="28"/>
          <w:szCs w:val="28"/>
          <w:lang w:val="uk-UA"/>
        </w:rPr>
        <w:t xml:space="preserve"> 0,1; 0,07 та 0,05 мл/кг, відповідно, характеризувався: летальністю тварин (в першому випадку виживаність не більша ніж 30, другому – 70, третьому – 80 %); наростанням активності маркера нейродеструкції NSE в середньому до 4,889±0,139 нг/мл (тяжкий </w:t>
      </w:r>
      <w:r w:rsidR="00933A7D">
        <w:rPr>
          <w:rFonts w:ascii="Times New Roman" w:hAnsi="Times New Roman"/>
          <w:sz w:val="28"/>
          <w:szCs w:val="28"/>
          <w:lang w:val="uk-UA"/>
        </w:rPr>
        <w:t xml:space="preserve"> ступінь</w:t>
      </w:r>
      <w:r w:rsidRPr="00012F54">
        <w:rPr>
          <w:rFonts w:ascii="Times New Roman" w:hAnsi="Times New Roman"/>
          <w:sz w:val="28"/>
          <w:szCs w:val="28"/>
          <w:lang w:val="uk-UA"/>
        </w:rPr>
        <w:t>), 3,313±0,092 нг/мл (середній ступінь), 2,259±0,084 нг/мл (легкий</w:t>
      </w:r>
      <w:r w:rsidR="00933A7D">
        <w:rPr>
          <w:rFonts w:ascii="Times New Roman" w:hAnsi="Times New Roman"/>
          <w:sz w:val="28"/>
          <w:szCs w:val="28"/>
          <w:lang w:val="uk-UA"/>
        </w:rPr>
        <w:t xml:space="preserve"> ступінь</w:t>
      </w:r>
      <w:r w:rsidRPr="00012F54">
        <w:rPr>
          <w:rFonts w:ascii="Times New Roman" w:hAnsi="Times New Roman"/>
          <w:sz w:val="28"/>
          <w:szCs w:val="28"/>
          <w:lang w:val="uk-UA"/>
        </w:rPr>
        <w:t xml:space="preserve">); зміненим неврологічним статусом (наявний церебральний дефіцит </w:t>
      </w:r>
      <w:r w:rsidRPr="00012F54">
        <w:rPr>
          <w:rFonts w:ascii="Times New Roman" w:hAnsi="Times New Roman"/>
          <w:sz w:val="28"/>
          <w:lang w:val="uk-UA"/>
        </w:rPr>
        <w:t>за шкалою С.Р. McGraw</w:t>
      </w:r>
      <w:r w:rsidRPr="00012F54">
        <w:rPr>
          <w:rFonts w:ascii="Times New Roman" w:hAnsi="Times New Roman"/>
          <w:sz w:val="28"/>
          <w:szCs w:val="28"/>
          <w:lang w:val="uk-UA"/>
        </w:rPr>
        <w:t xml:space="preserve"> </w:t>
      </w:r>
      <w:r w:rsidRPr="00012F54">
        <w:rPr>
          <w:rFonts w:ascii="Times New Roman" w:hAnsi="Times New Roman"/>
          <w:sz w:val="28"/>
          <w:szCs w:val="28"/>
          <w:lang w:val="uk-UA"/>
        </w:rPr>
        <w:lastRenderedPageBreak/>
        <w:t>11,93±0,33, 6,53±0,3</w:t>
      </w:r>
      <w:r w:rsidR="00933A7D">
        <w:rPr>
          <w:rFonts w:ascii="Times New Roman" w:hAnsi="Times New Roman"/>
          <w:sz w:val="28"/>
          <w:szCs w:val="28"/>
          <w:lang w:val="uk-UA"/>
        </w:rPr>
        <w:t>3 та 5,07±0,28 бали</w:t>
      </w:r>
      <w:r w:rsidRPr="00012F54">
        <w:rPr>
          <w:rFonts w:ascii="Times New Roman" w:hAnsi="Times New Roman"/>
          <w:sz w:val="28"/>
          <w:szCs w:val="28"/>
          <w:lang w:val="uk-UA"/>
        </w:rPr>
        <w:t>); ескалацією параметру внутрішньочерепного тиску до 16,429±0,571, 10,571±0,429 та 7,571±0,369 у.о. відповідно (р&lt;0,05).</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На моделі субарахноїдального крововиливу тяжкого ступеня важкості верифіковано умовно-ефективну терапевтичну дозу адемолу на рівні 2 мг/кг довенно, терапія якою сприяла зменшенню: летальності до 10 %, неврологічного дефіциту до 5,73±0,19 бали та падінню значень внутрішньочерепного тиску до 5,714±0,286 од. (р&lt;0,05), виявляючи при цьому мнемотропну активність достеменно кращу за усі референс-препарати.</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Щоденне застосування адемолу упродовж 96 год після геморагії в мозок, амортизувала падіння церебральної перфузії, стабілізуючи її рівень на коефіцієнтах мікроциркуляції в корі, котрі виявились вищими за аналогічні у групі контрольної патології в середньому в 3,99 (внутрішньомозкова гематома) та у 7,30 (субрахноїдальний крововилив) рази, що відбувалось на тлі ескалації значень показника об’ємної швидкості церебрального кровоплину в центральній мозковій артерії відносно контролю в середньому на 68,4, р&lt;0,05. При цьому, на відміну від референсногонімодипіну, при довенному застосуванні похідного адамантану, значення центральної гемодинаміки, котрі верифікували за показниками артеріального тиску, тиску в лівому передсерді та </w:t>
      </w:r>
      <w:r w:rsidR="00933A7D">
        <w:rPr>
          <w:rFonts w:ascii="Times New Roman" w:hAnsi="Times New Roman"/>
          <w:sz w:val="28"/>
          <w:szCs w:val="28"/>
          <w:lang w:val="uk-UA"/>
        </w:rPr>
        <w:t xml:space="preserve">рівнем кисню в </w:t>
      </w:r>
      <w:r w:rsidRPr="00012F54">
        <w:rPr>
          <w:rFonts w:ascii="Times New Roman" w:hAnsi="Times New Roman"/>
          <w:sz w:val="28"/>
          <w:szCs w:val="28"/>
          <w:lang w:val="uk-UA"/>
        </w:rPr>
        <w:t xml:space="preserve"> крові, достеменно не різнились від вихідних, а за ступенем деескалації рівня внутрішньочерепного тиску адемол перевершував ефективність амантадину і магнію сульфату в середньому у 1,85 рази, р&lt;0,05.</w:t>
      </w:r>
    </w:p>
    <w:p w:rsidR="00012F54" w:rsidRPr="00012F54" w:rsidRDefault="00012F54" w:rsidP="00B065B6">
      <w:pPr>
        <w:widowControl w:val="0"/>
        <w:tabs>
          <w:tab w:val="left" w:pos="1276"/>
          <w:tab w:val="left" w:pos="1701"/>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За ступенем нейродеструктивних та нейродегенеративних змін при інтракраніальнійгеморагії, котрі ідентифікували за активністю нейрон-специфічної енолази (</w:t>
      </w:r>
      <w:r w:rsidRPr="00012F54">
        <w:rPr>
          <w:rFonts w:ascii="Times New Roman" w:hAnsi="Times New Roman"/>
          <w:bCs/>
          <w:sz w:val="28"/>
          <w:szCs w:val="28"/>
          <w:lang w:val="uk-UA"/>
        </w:rPr>
        <w:t>NSE)</w:t>
      </w:r>
      <w:r w:rsidRPr="00012F54">
        <w:rPr>
          <w:rFonts w:ascii="Times New Roman" w:hAnsi="Times New Roman"/>
          <w:sz w:val="28"/>
          <w:szCs w:val="28"/>
          <w:lang w:val="uk-UA"/>
        </w:rPr>
        <w:t>, адемол вірогідно переважав ефективність німодипіну, амантадину та магнію сульфату в середньому у 1,57, 1,49 та 2,04 рази. Такий процес асоціювався із регресом апоптотичного та проліфер</w:t>
      </w:r>
      <w:r w:rsidR="002131C4">
        <w:rPr>
          <w:rFonts w:ascii="Times New Roman" w:hAnsi="Times New Roman"/>
          <w:sz w:val="28"/>
          <w:szCs w:val="28"/>
          <w:lang w:val="uk-UA"/>
        </w:rPr>
        <w:t>ативного феномену, виявленого за  ступенем</w:t>
      </w:r>
      <w:r w:rsidRPr="00012F54">
        <w:rPr>
          <w:rFonts w:ascii="Times New Roman" w:hAnsi="Times New Roman"/>
          <w:sz w:val="28"/>
          <w:szCs w:val="28"/>
          <w:lang w:val="uk-UA"/>
        </w:rPr>
        <w:t xml:space="preserve"> фрагментації </w:t>
      </w:r>
      <w:r w:rsidRPr="00012F54">
        <w:rPr>
          <w:rFonts w:ascii="Times New Roman" w:hAnsi="Times New Roman"/>
          <w:bCs/>
          <w:color w:val="000000"/>
          <w:sz w:val="28"/>
          <w:szCs w:val="28"/>
          <w:lang w:val="uk-UA"/>
        </w:rPr>
        <w:t>дезоксирибонуклеїнової кислоти</w:t>
      </w:r>
      <w:r w:rsidRPr="00012F54">
        <w:rPr>
          <w:rFonts w:ascii="Times New Roman" w:hAnsi="Times New Roman"/>
          <w:sz w:val="28"/>
          <w:szCs w:val="28"/>
          <w:lang w:val="uk-UA"/>
        </w:rPr>
        <w:t xml:space="preserve"> (ДНК) нейрональнихядер, рівнем білка S100 (</w:t>
      </w:r>
      <w:r w:rsidRPr="00012F54">
        <w:rPr>
          <w:rFonts w:ascii="Times New Roman" w:hAnsi="Times New Roman"/>
          <w:bCs/>
          <w:caps/>
          <w:color w:val="000000"/>
          <w:sz w:val="28"/>
          <w:szCs w:val="28"/>
          <w:lang w:val="uk-UA"/>
        </w:rPr>
        <w:t xml:space="preserve">S100) </w:t>
      </w:r>
      <w:r w:rsidRPr="00012F54">
        <w:rPr>
          <w:rFonts w:ascii="Times New Roman" w:hAnsi="Times New Roman"/>
          <w:sz w:val="28"/>
          <w:szCs w:val="28"/>
          <w:lang w:val="uk-UA"/>
        </w:rPr>
        <w:t xml:space="preserve">і активації синтетичної фази клітинного циклу, переважаючи німодипін в середньому на 13,0 % (апоптоз), та у 1,35 та 1,68 рази (нейропроліферація по титрам S100 і цитометричним показником), р&lt;0,05.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lastRenderedPageBreak/>
        <w:t xml:space="preserve">При оцінці масштабу </w:t>
      </w:r>
      <w:r w:rsidR="00BF1A31">
        <w:rPr>
          <w:rFonts w:ascii="Times New Roman" w:hAnsi="Times New Roman"/>
          <w:sz w:val="28"/>
          <w:szCs w:val="28"/>
          <w:lang w:val="uk-UA"/>
        </w:rPr>
        <w:t>морфо-дегенеративних явищ, які</w:t>
      </w:r>
      <w:r w:rsidRPr="00012F54">
        <w:rPr>
          <w:rFonts w:ascii="Times New Roman" w:hAnsi="Times New Roman"/>
          <w:sz w:val="28"/>
          <w:szCs w:val="28"/>
          <w:lang w:val="uk-UA"/>
        </w:rPr>
        <w:t xml:space="preserve"> відбуваються в</w:t>
      </w:r>
      <w:r w:rsidR="00BF1A31">
        <w:rPr>
          <w:rFonts w:ascii="Times New Roman" w:hAnsi="Times New Roman"/>
          <w:sz w:val="28"/>
          <w:szCs w:val="28"/>
          <w:lang w:val="uk-UA"/>
        </w:rPr>
        <w:t xml:space="preserve"> головному мозку при</w:t>
      </w:r>
      <w:r w:rsidRPr="00012F54">
        <w:rPr>
          <w:rFonts w:ascii="Times New Roman" w:hAnsi="Times New Roman"/>
          <w:sz w:val="28"/>
          <w:szCs w:val="28"/>
          <w:lang w:val="uk-UA"/>
        </w:rPr>
        <w:t xml:space="preserve"> ГІ на </w:t>
      </w:r>
      <w:r w:rsidR="00BF1A31">
        <w:rPr>
          <w:rFonts w:ascii="Times New Roman" w:hAnsi="Times New Roman"/>
          <w:sz w:val="28"/>
          <w:szCs w:val="28"/>
          <w:lang w:val="uk-UA"/>
        </w:rPr>
        <w:t>тлі церебропротекторної терапії,  під час проведення</w:t>
      </w:r>
      <w:r w:rsidRPr="00012F54">
        <w:rPr>
          <w:rFonts w:ascii="Times New Roman" w:hAnsi="Times New Roman"/>
          <w:sz w:val="28"/>
          <w:szCs w:val="28"/>
          <w:lang w:val="uk-UA"/>
        </w:rPr>
        <w:t>методу світлової мікроскопії, було показано, що гістопатологічні зміни при лікуванні церебральної ішемії геморагічного ґенезу адемолом, були помірними із збереженням структурної організації нервової тканини, кори мозку, гіпокампу та елем</w:t>
      </w:r>
      <w:r w:rsidR="00BF1A31">
        <w:rPr>
          <w:rFonts w:ascii="Times New Roman" w:hAnsi="Times New Roman"/>
          <w:sz w:val="28"/>
          <w:szCs w:val="28"/>
          <w:lang w:val="uk-UA"/>
        </w:rPr>
        <w:t>ентів мікроциркуляторного русла. При цьому досліджуваний об’єкт мав вигляд  за основними оціночними критеріями такими як: наявність/відсутність</w:t>
      </w:r>
      <w:r w:rsidRPr="00012F54">
        <w:rPr>
          <w:rFonts w:ascii="Times New Roman" w:hAnsi="Times New Roman"/>
          <w:sz w:val="28"/>
          <w:szCs w:val="28"/>
          <w:lang w:val="uk-UA"/>
        </w:rPr>
        <w:t xml:space="preserve"> ядра, ядерця, відростків нейронів та інших структурних клітинних об’</w:t>
      </w:r>
      <w:r w:rsidR="00BF1A31">
        <w:rPr>
          <w:rFonts w:ascii="Times New Roman" w:hAnsi="Times New Roman"/>
          <w:sz w:val="28"/>
          <w:szCs w:val="28"/>
          <w:lang w:val="uk-UA"/>
        </w:rPr>
        <w:t xml:space="preserve">єктів, перивазального та навколо </w:t>
      </w:r>
      <w:r w:rsidRPr="00012F54">
        <w:rPr>
          <w:rFonts w:ascii="Times New Roman" w:hAnsi="Times New Roman"/>
          <w:sz w:val="28"/>
          <w:szCs w:val="28"/>
          <w:lang w:val="uk-UA"/>
        </w:rPr>
        <w:t>клітинного набряку, діапедезу формених елементів крові, цитоліз</w:t>
      </w:r>
      <w:r w:rsidR="00EE5F22">
        <w:rPr>
          <w:rFonts w:ascii="Times New Roman" w:hAnsi="Times New Roman"/>
          <w:sz w:val="28"/>
          <w:szCs w:val="28"/>
          <w:lang w:val="uk-UA"/>
        </w:rPr>
        <w:t>у, а також</w:t>
      </w:r>
      <w:r w:rsidR="00BF1A31">
        <w:rPr>
          <w:rFonts w:ascii="Times New Roman" w:hAnsi="Times New Roman"/>
          <w:sz w:val="28"/>
          <w:szCs w:val="28"/>
          <w:lang w:val="uk-UA"/>
        </w:rPr>
        <w:t xml:space="preserve"> ознак нейродеструкції стінки</w:t>
      </w:r>
      <w:r w:rsidR="00EE5F22">
        <w:rPr>
          <w:rFonts w:ascii="Times New Roman" w:hAnsi="Times New Roman"/>
          <w:sz w:val="28"/>
          <w:szCs w:val="28"/>
          <w:lang w:val="uk-UA"/>
        </w:rPr>
        <w:t xml:space="preserve">, наближався до такого як у </w:t>
      </w:r>
      <w:r w:rsidRPr="00012F54">
        <w:rPr>
          <w:rFonts w:ascii="Times New Roman" w:hAnsi="Times New Roman"/>
          <w:sz w:val="28"/>
          <w:szCs w:val="28"/>
          <w:lang w:val="uk-UA"/>
        </w:rPr>
        <w:t>псевдооперованих щурів, що відповідало фактам, які було отримано при імуноферментному досліджені нейроспецифічних ферментів.</w:t>
      </w:r>
    </w:p>
    <w:p w:rsidR="00012F54" w:rsidRPr="00012F54" w:rsidRDefault="00012F54" w:rsidP="00B065B6">
      <w:pPr>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Серед патобіохімічних складових нейроп</w:t>
      </w:r>
      <w:r w:rsidR="00DB7E9E">
        <w:rPr>
          <w:rFonts w:ascii="Times New Roman" w:hAnsi="Times New Roman"/>
          <w:sz w:val="28"/>
          <w:szCs w:val="28"/>
          <w:lang w:val="uk-UA"/>
        </w:rPr>
        <w:t>ротекторної</w:t>
      </w:r>
      <w:r w:rsidRPr="00012F54">
        <w:rPr>
          <w:rFonts w:ascii="Times New Roman" w:hAnsi="Times New Roman"/>
          <w:sz w:val="28"/>
          <w:szCs w:val="28"/>
          <w:lang w:val="uk-UA"/>
        </w:rPr>
        <w:t xml:space="preserve"> дії адемолу при геморагічному ураженні головного мозку зареєстрована його здатність зменшувати формування глутаматної та стероїдної ексайтотоксичності. В групі тварин, які отримували адемол, рівень глутамату в мо</w:t>
      </w:r>
      <w:r w:rsidR="00DB7E9E">
        <w:rPr>
          <w:rFonts w:ascii="Times New Roman" w:hAnsi="Times New Roman"/>
          <w:sz w:val="28"/>
          <w:szCs w:val="28"/>
          <w:lang w:val="uk-UA"/>
        </w:rPr>
        <w:t>зку щурів з внутрішньомозковим</w:t>
      </w:r>
      <w:r w:rsidRPr="00012F54">
        <w:rPr>
          <w:rFonts w:ascii="Times New Roman" w:hAnsi="Times New Roman"/>
          <w:sz w:val="28"/>
          <w:szCs w:val="28"/>
          <w:lang w:val="uk-UA"/>
        </w:rPr>
        <w:t>крововиливом становив 16,3±0,32 нмоль/мг протеїну, що в 1,93 рази менше, ніж у тварин контрольної патології. На тлі дії німодипінуантиексайтотксична дія була незначно більшою, ніж у адемолу (рівень глутамату становив 14,75±0,27 нмоль/мг протеїну), однак відмінності між німодипіном та адемолом не сягали статистичн</w:t>
      </w:r>
      <w:r w:rsidR="00AC6FE3">
        <w:rPr>
          <w:rFonts w:ascii="Times New Roman" w:hAnsi="Times New Roman"/>
          <w:sz w:val="28"/>
          <w:szCs w:val="28"/>
          <w:lang w:val="uk-UA"/>
        </w:rPr>
        <w:t>о вірогідних значень. Амантадин</w:t>
      </w:r>
      <w:r w:rsidRPr="00012F54">
        <w:rPr>
          <w:rFonts w:ascii="Times New Roman" w:hAnsi="Times New Roman"/>
          <w:sz w:val="28"/>
          <w:szCs w:val="28"/>
          <w:lang w:val="uk-UA"/>
        </w:rPr>
        <w:t xml:space="preserve"> та магнію сульфат в меншій мірі попереджали збільшення глутамат</w:t>
      </w:r>
      <w:r w:rsidR="0008046E">
        <w:rPr>
          <w:rFonts w:ascii="Times New Roman" w:hAnsi="Times New Roman"/>
          <w:sz w:val="28"/>
          <w:szCs w:val="28"/>
          <w:lang w:val="uk-UA"/>
        </w:rPr>
        <w:t>у в головному мозку щурів з ВМК. Цей показник склав відповідно</w:t>
      </w:r>
      <w:r w:rsidRPr="00012F54">
        <w:rPr>
          <w:rFonts w:ascii="Times New Roman" w:hAnsi="Times New Roman"/>
          <w:sz w:val="28"/>
          <w:szCs w:val="28"/>
          <w:lang w:val="uk-UA"/>
        </w:rPr>
        <w:t xml:space="preserve"> 17,7±0,39 та 22,0±0,42 нмоль/мг протеїну. За антиексайтотоксичним ефектом при ВМК адемол в дозі 2 мг/кг в/в та німодипін і амантадину сульфат виявились співставними, а магнію сульфат їм статистично (</w:t>
      </w:r>
      <w:r w:rsidRPr="00012F54">
        <w:rPr>
          <w:rFonts w:ascii="Times New Roman" w:hAnsi="Times New Roman"/>
          <w:sz w:val="28"/>
          <w:szCs w:val="28"/>
          <w:lang w:val="en-US"/>
        </w:rPr>
        <w:t>p</w:t>
      </w:r>
      <w:r w:rsidRPr="00030A3E">
        <w:rPr>
          <w:rFonts w:ascii="Times New Roman" w:hAnsi="Times New Roman"/>
          <w:sz w:val="28"/>
          <w:szCs w:val="28"/>
          <w:lang w:val="uk-UA"/>
        </w:rPr>
        <w:t>&lt;0</w:t>
      </w:r>
      <w:r w:rsidRPr="00012F54">
        <w:rPr>
          <w:rFonts w:ascii="Times New Roman" w:hAnsi="Times New Roman"/>
          <w:sz w:val="28"/>
          <w:szCs w:val="28"/>
          <w:lang w:val="uk-UA"/>
        </w:rPr>
        <w:t>,</w:t>
      </w:r>
      <w:r w:rsidRPr="00030A3E">
        <w:rPr>
          <w:rFonts w:ascii="Times New Roman" w:hAnsi="Times New Roman"/>
          <w:sz w:val="28"/>
          <w:szCs w:val="28"/>
          <w:lang w:val="uk-UA"/>
        </w:rPr>
        <w:t xml:space="preserve">05) </w:t>
      </w:r>
      <w:r w:rsidRPr="00012F54">
        <w:rPr>
          <w:rFonts w:ascii="Times New Roman" w:hAnsi="Times New Roman"/>
          <w:sz w:val="28"/>
          <w:szCs w:val="28"/>
          <w:lang w:val="uk-UA"/>
        </w:rPr>
        <w:t>поступався.</w:t>
      </w:r>
    </w:p>
    <w:p w:rsidR="00012F54" w:rsidRPr="00012F54" w:rsidRDefault="006432F6" w:rsidP="00B065B6">
      <w:pPr>
        <w:widowControl w:val="0"/>
        <w:shd w:val="clear" w:color="auto" w:fill="FFFFFF"/>
        <w:spacing w:after="0" w:line="360" w:lineRule="auto"/>
        <w:ind w:firstLine="284"/>
        <w:jc w:val="both"/>
        <w:rPr>
          <w:rFonts w:ascii="Times New Roman" w:hAnsi="Times New Roman"/>
          <w:sz w:val="28"/>
          <w:szCs w:val="28"/>
          <w:lang w:val="uk-UA"/>
        </w:rPr>
      </w:pPr>
      <w:r>
        <w:rPr>
          <w:rFonts w:ascii="Times New Roman" w:hAnsi="Times New Roman"/>
          <w:sz w:val="28"/>
          <w:szCs w:val="28"/>
          <w:lang w:val="uk-UA"/>
        </w:rPr>
        <w:t>Щ</w:t>
      </w:r>
      <w:r w:rsidR="002072BD">
        <w:rPr>
          <w:rFonts w:ascii="Times New Roman" w:hAnsi="Times New Roman"/>
          <w:sz w:val="28"/>
          <w:szCs w:val="28"/>
          <w:lang w:val="uk-UA"/>
        </w:rPr>
        <w:t>урам з</w:t>
      </w:r>
      <w:r w:rsidR="00012F54" w:rsidRPr="00012F54">
        <w:rPr>
          <w:rFonts w:ascii="Times New Roman" w:hAnsi="Times New Roman"/>
          <w:sz w:val="28"/>
          <w:szCs w:val="28"/>
          <w:lang w:val="uk-UA"/>
        </w:rPr>
        <w:t xml:space="preserve"> ВМК</w:t>
      </w:r>
      <w:r>
        <w:rPr>
          <w:rFonts w:ascii="Times New Roman" w:hAnsi="Times New Roman"/>
          <w:sz w:val="28"/>
          <w:szCs w:val="28"/>
          <w:lang w:val="uk-UA"/>
        </w:rPr>
        <w:t xml:space="preserve"> проводили лікувальну курсову інфузію</w:t>
      </w:r>
      <w:r w:rsidR="00012F54" w:rsidRPr="00012F54">
        <w:rPr>
          <w:rFonts w:ascii="Times New Roman" w:hAnsi="Times New Roman"/>
          <w:sz w:val="28"/>
          <w:szCs w:val="28"/>
          <w:lang w:val="uk-UA"/>
        </w:rPr>
        <w:t xml:space="preserve">адемолу умовно-ефективною дозою 2 мг/кг в/в, </w:t>
      </w:r>
      <w:r>
        <w:rPr>
          <w:rFonts w:ascii="Times New Roman" w:hAnsi="Times New Roman"/>
          <w:sz w:val="28"/>
          <w:szCs w:val="28"/>
          <w:lang w:val="uk-UA"/>
        </w:rPr>
        <w:t xml:space="preserve"> що </w:t>
      </w:r>
      <w:r w:rsidR="00012F54" w:rsidRPr="00012F54">
        <w:rPr>
          <w:rFonts w:ascii="Times New Roman" w:hAnsi="Times New Roman"/>
          <w:sz w:val="28"/>
          <w:szCs w:val="28"/>
          <w:lang w:val="uk-UA"/>
        </w:rPr>
        <w:t>достовірно ліпше протидіяло наростанню глюкокортикоїдноїнейротоксичності</w:t>
      </w:r>
      <w:r w:rsidRPr="00012F54">
        <w:rPr>
          <w:rFonts w:ascii="Times New Roman" w:hAnsi="Times New Roman"/>
          <w:sz w:val="28"/>
          <w:szCs w:val="28"/>
          <w:lang w:val="uk-UA"/>
        </w:rPr>
        <w:t>за решту референсів</w:t>
      </w:r>
      <w:r>
        <w:rPr>
          <w:rFonts w:ascii="Times New Roman" w:hAnsi="Times New Roman"/>
          <w:sz w:val="28"/>
          <w:szCs w:val="28"/>
          <w:lang w:val="uk-UA"/>
        </w:rPr>
        <w:t>. Це</w:t>
      </w:r>
      <w:r w:rsidR="00012F54" w:rsidRPr="00012F54">
        <w:rPr>
          <w:rFonts w:ascii="Times New Roman" w:hAnsi="Times New Roman"/>
          <w:sz w:val="28"/>
          <w:szCs w:val="28"/>
          <w:lang w:val="uk-UA"/>
        </w:rPr>
        <w:t xml:space="preserve"> проявилось у помірному підвищенню рівня кортизолу відносно псевдооперованих тварин, у той час, як на тлі препаратів-порівняння наростання кортизолу</w:t>
      </w:r>
      <w:r w:rsidR="00275E01">
        <w:rPr>
          <w:rFonts w:ascii="Times New Roman" w:hAnsi="Times New Roman"/>
          <w:sz w:val="28"/>
          <w:szCs w:val="28"/>
          <w:lang w:val="uk-UA"/>
        </w:rPr>
        <w:t xml:space="preserve"> виявилось значно вищим. </w:t>
      </w:r>
      <w:r w:rsidR="00012F54" w:rsidRPr="00012F54">
        <w:rPr>
          <w:rFonts w:ascii="Times New Roman" w:hAnsi="Times New Roman"/>
          <w:sz w:val="28"/>
          <w:szCs w:val="28"/>
          <w:lang w:val="uk-UA"/>
        </w:rPr>
        <w:t xml:space="preserve"> </w:t>
      </w:r>
      <w:r w:rsidR="00012F54" w:rsidRPr="00012F54">
        <w:rPr>
          <w:rFonts w:ascii="Times New Roman" w:hAnsi="Times New Roman"/>
          <w:sz w:val="28"/>
          <w:szCs w:val="28"/>
          <w:lang w:val="uk-UA"/>
        </w:rPr>
        <w:lastRenderedPageBreak/>
        <w:t>Так, наприкінці експериментальної терапії інсульту адемолом, вміст досліджуваного гормону в сироватці крові сагітального синуса зменшився відносно групи контрольної патології в середньому у 3,22 рази (р&lt;0,05). Такий фармакодинамічнийефект адемолу свідчить про наявність у нього позитивного модулювального впливу на формування стероїд</w:t>
      </w:r>
      <w:r w:rsidR="00AB7880">
        <w:rPr>
          <w:rFonts w:ascii="Times New Roman" w:hAnsi="Times New Roman"/>
          <w:sz w:val="28"/>
          <w:szCs w:val="28"/>
          <w:lang w:val="uk-UA"/>
        </w:rPr>
        <w:t>ної нейротоксичності. За</w:t>
      </w:r>
      <w:r w:rsidR="00AB7880" w:rsidRPr="00012F54">
        <w:rPr>
          <w:rFonts w:ascii="Times New Roman" w:hAnsi="Times New Roman"/>
          <w:sz w:val="28"/>
          <w:szCs w:val="28"/>
          <w:lang w:val="uk-UA"/>
        </w:rPr>
        <w:t>здатністю знижувати вміст досліджуваного гормону</w:t>
      </w:r>
      <w:r w:rsidR="00012F54" w:rsidRPr="00012F54">
        <w:rPr>
          <w:rFonts w:ascii="Times New Roman" w:hAnsi="Times New Roman"/>
          <w:sz w:val="28"/>
          <w:szCs w:val="28"/>
          <w:lang w:val="uk-UA"/>
        </w:rPr>
        <w:t xml:space="preserve"> в умовах ВМК</w:t>
      </w:r>
      <w:r w:rsidR="00AB7880">
        <w:rPr>
          <w:rFonts w:ascii="Times New Roman" w:hAnsi="Times New Roman"/>
          <w:sz w:val="28"/>
          <w:szCs w:val="28"/>
          <w:lang w:val="uk-UA"/>
        </w:rPr>
        <w:t>,</w:t>
      </w:r>
      <w:r w:rsidR="00012F54" w:rsidRPr="00012F54">
        <w:rPr>
          <w:rFonts w:ascii="Times New Roman" w:hAnsi="Times New Roman"/>
          <w:sz w:val="28"/>
          <w:szCs w:val="28"/>
          <w:lang w:val="uk-UA"/>
        </w:rPr>
        <w:t>інфузіяад</w:t>
      </w:r>
      <w:r w:rsidR="00AB7880">
        <w:rPr>
          <w:rFonts w:ascii="Times New Roman" w:hAnsi="Times New Roman"/>
          <w:sz w:val="28"/>
          <w:szCs w:val="28"/>
          <w:lang w:val="uk-UA"/>
        </w:rPr>
        <w:t>емолу по ефективності значно</w:t>
      </w:r>
      <w:r w:rsidR="00012F54" w:rsidRPr="00012F54">
        <w:rPr>
          <w:rFonts w:ascii="Times New Roman" w:hAnsi="Times New Roman"/>
          <w:sz w:val="28"/>
          <w:szCs w:val="28"/>
          <w:lang w:val="uk-UA"/>
        </w:rPr>
        <w:t xml:space="preserve"> переважала німодипін в середньому в 1,51, а амантадину та магнію сульфат</w:t>
      </w:r>
      <w:r w:rsidR="00AB7880">
        <w:rPr>
          <w:rFonts w:ascii="Times New Roman" w:hAnsi="Times New Roman"/>
          <w:sz w:val="28"/>
          <w:szCs w:val="28"/>
          <w:lang w:val="uk-UA"/>
        </w:rPr>
        <w:t>у</w:t>
      </w:r>
      <w:r w:rsidR="00012F54" w:rsidRPr="00012F54">
        <w:rPr>
          <w:rFonts w:ascii="Times New Roman" w:hAnsi="Times New Roman"/>
          <w:sz w:val="28"/>
          <w:szCs w:val="28"/>
          <w:lang w:val="uk-UA"/>
        </w:rPr>
        <w:t xml:space="preserve"> відповідно у 1,97 і 2,63 рази. </w:t>
      </w:r>
    </w:p>
    <w:p w:rsidR="00012F54" w:rsidRPr="00012F54" w:rsidRDefault="00012F54" w:rsidP="00B065B6">
      <w:pPr>
        <w:widowControl w:val="0"/>
        <w:shd w:val="clear" w:color="auto" w:fill="FFFFFF"/>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До механізмів церебропротекторної активності адемолу при інтракраніальнійгеморагії, окрім спроможності препарату покращувати мозковий кровоплин, знижувати підвищений внутрішньочерепний тиск, послаблювати явище нейроцитолізу, апоптозу, проліферації, глутаматної та стероїдної не</w:t>
      </w:r>
      <w:r w:rsidR="00ED6CA4">
        <w:rPr>
          <w:rFonts w:ascii="Times New Roman" w:hAnsi="Times New Roman"/>
          <w:sz w:val="28"/>
          <w:szCs w:val="28"/>
          <w:lang w:val="uk-UA"/>
        </w:rPr>
        <w:t xml:space="preserve">йротоксичності відносяться його можливість </w:t>
      </w:r>
      <w:r w:rsidRPr="00012F54">
        <w:rPr>
          <w:rFonts w:ascii="Times New Roman" w:hAnsi="Times New Roman"/>
          <w:sz w:val="28"/>
          <w:szCs w:val="28"/>
          <w:lang w:val="uk-UA"/>
        </w:rPr>
        <w:t>(на прикладі гострого періоду субарахноїдального крововиливу) ліквідувати енергодефіцит мозку (збільшення вмісту в мозку аденозинтрифосфорної кислоти (АТФ), пірувату та покращення енергетичного заряду відносно зразків контрольної патології в середньому відповідно на 45,1, 42,9 та 22,0 %, р&lt;0,05); зменшувати лактат-ацидоз (зменшення вмісту лактату на 31,9 %, р&lt;0,05), впливати на оксидативний стрес (зниження рівня малонового діальдегіду (МДА) та карбонільних груп протеїнів (КГП) в середньому на 30,5 та 18,8 %, на тлі зростання активності супероксиддисмутази (СОД), глутатіонпероксидази (ГПО) і каталази відповідно на 42,1, 25,2 та 37,6 %, р&lt;0,05), модулювати обмін монооксиду азоту (підвищення активності NO-синтази при паралельному збільшенні вмісту донатора NO L-аргініну в середньому відповідно на 14,0 та 44,0 %, р&lt;0,05). За перерахованими властивостями адемол достовірно переважав однойменні ефекти у німодипіну, амантадину та магнію сульфат</w:t>
      </w:r>
      <w:r w:rsidR="00C84D27">
        <w:rPr>
          <w:rFonts w:ascii="Times New Roman" w:hAnsi="Times New Roman"/>
          <w:sz w:val="28"/>
          <w:szCs w:val="28"/>
          <w:lang w:val="uk-UA"/>
        </w:rPr>
        <w:t>у</w:t>
      </w:r>
      <w:r w:rsidRPr="00012F54">
        <w:rPr>
          <w:rFonts w:ascii="Times New Roman" w:hAnsi="Times New Roman"/>
          <w:sz w:val="28"/>
          <w:szCs w:val="28"/>
          <w:lang w:val="uk-UA"/>
        </w:rPr>
        <w:t>.</w:t>
      </w:r>
    </w:p>
    <w:p w:rsidR="00012F54" w:rsidRPr="00012F54" w:rsidRDefault="00012F54" w:rsidP="00B065B6">
      <w:pPr>
        <w:widowControl w:val="0"/>
        <w:spacing w:after="0" w:line="360" w:lineRule="auto"/>
        <w:ind w:firstLine="284"/>
        <w:jc w:val="both"/>
        <w:rPr>
          <w:rFonts w:ascii="Times New Roman" w:hAnsi="Times New Roman"/>
          <w:b/>
          <w:sz w:val="28"/>
          <w:szCs w:val="28"/>
          <w:shd w:val="clear" w:color="auto" w:fill="FFFFFF"/>
          <w:lang w:val="uk-UA" w:eastAsia="ar-SA"/>
        </w:rPr>
      </w:pPr>
      <w:r w:rsidRPr="00012F54">
        <w:rPr>
          <w:rFonts w:ascii="Times New Roman" w:hAnsi="Times New Roman"/>
          <w:b/>
          <w:bCs/>
          <w:sz w:val="28"/>
          <w:szCs w:val="28"/>
          <w:lang w:val="uk-UA"/>
        </w:rPr>
        <w:t>Ключові слова:</w:t>
      </w:r>
      <w:r w:rsidRPr="00012F54">
        <w:rPr>
          <w:rFonts w:ascii="Times New Roman" w:hAnsi="Times New Roman"/>
          <w:sz w:val="28"/>
          <w:szCs w:val="28"/>
          <w:lang w:val="uk-UA"/>
        </w:rPr>
        <w:t>адемол, NMDA-рецептори, внутрішньочерепний крововилив, субарахноїдальний, внутрішньомозковий крововилив, церебропротекція, німодипін, амантадину сульфат, магнію сульфат.</w:t>
      </w:r>
      <w:r w:rsidRPr="00012F54">
        <w:rPr>
          <w:rFonts w:ascii="Times New Roman" w:hAnsi="Times New Roman"/>
          <w:b/>
          <w:sz w:val="28"/>
          <w:szCs w:val="28"/>
          <w:shd w:val="clear" w:color="auto" w:fill="FFFFFF"/>
          <w:lang w:val="uk-UA" w:eastAsia="ar-SA"/>
        </w:rPr>
        <w:br w:type="page"/>
      </w:r>
    </w:p>
    <w:p w:rsidR="00086D89" w:rsidRDefault="00086D89" w:rsidP="00086D89">
      <w:pPr>
        <w:spacing w:line="360" w:lineRule="auto"/>
        <w:ind w:firstLine="284"/>
        <w:jc w:val="center"/>
        <w:rPr>
          <w:rFonts w:ascii="Times New Roman" w:hAnsi="Times New Roman"/>
          <w:b/>
          <w:bCs/>
          <w:sz w:val="28"/>
          <w:szCs w:val="28"/>
          <w:lang w:val="en-US"/>
        </w:rPr>
      </w:pPr>
      <w:r>
        <w:rPr>
          <w:rFonts w:ascii="Times New Roman" w:hAnsi="Times New Roman"/>
          <w:b/>
          <w:bCs/>
          <w:sz w:val="28"/>
          <w:szCs w:val="28"/>
          <w:lang w:val="en-US"/>
        </w:rPr>
        <w:lastRenderedPageBreak/>
        <w:t>SUMMARY</w:t>
      </w:r>
    </w:p>
    <w:p w:rsidR="00086D89" w:rsidRDefault="00086D89" w:rsidP="00086D89">
      <w:pPr>
        <w:spacing w:line="360" w:lineRule="auto"/>
        <w:ind w:firstLine="284"/>
        <w:jc w:val="both"/>
        <w:rPr>
          <w:rFonts w:ascii="Times New Roman" w:hAnsi="Times New Roman"/>
          <w:sz w:val="28"/>
          <w:szCs w:val="28"/>
          <w:lang w:val="en-US"/>
        </w:rPr>
      </w:pPr>
      <w:r>
        <w:rPr>
          <w:rFonts w:ascii="Times New Roman" w:hAnsi="Times New Roman"/>
          <w:i/>
          <w:iCs/>
          <w:sz w:val="28"/>
          <w:szCs w:val="28"/>
          <w:lang w:val="en-US"/>
        </w:rPr>
        <w:t>Zhaboiedova N. V.</w:t>
      </w:r>
      <w:r>
        <w:rPr>
          <w:rFonts w:ascii="Times New Roman" w:hAnsi="Times New Roman"/>
          <w:sz w:val="28"/>
          <w:szCs w:val="28"/>
          <w:lang w:val="en-US"/>
        </w:rPr>
        <w:t xml:space="preserve"> Cerebroprotective activity of ademol in the conditions of experimental intracranial hemorrhage. - Qualifying scientific work on the rights of the manuscript.</w:t>
      </w:r>
    </w:p>
    <w:p w:rsidR="00086D89" w:rsidRDefault="00086D89" w:rsidP="00086D89">
      <w:pPr>
        <w:spacing w:line="360" w:lineRule="auto"/>
        <w:ind w:firstLine="284"/>
        <w:jc w:val="both"/>
        <w:rPr>
          <w:rFonts w:ascii="Times New Roman" w:hAnsi="Times New Roman"/>
          <w:sz w:val="28"/>
          <w:szCs w:val="28"/>
          <w:lang w:val="en-US"/>
        </w:rPr>
      </w:pPr>
      <w:r>
        <w:rPr>
          <w:rFonts w:ascii="Times New Roman" w:hAnsi="Times New Roman"/>
          <w:sz w:val="28"/>
          <w:szCs w:val="28"/>
          <w:lang w:val="en-US"/>
        </w:rPr>
        <w:t>The dissertation on competition of a scientific degree of the candidate of medical sciences</w:t>
      </w:r>
      <w:r>
        <w:rPr>
          <w:rFonts w:ascii="Times New Roman" w:hAnsi="Times New Roman"/>
          <w:sz w:val="28"/>
          <w:szCs w:val="28"/>
          <w:lang w:val="uk-UA"/>
        </w:rPr>
        <w:t xml:space="preserve"> </w:t>
      </w:r>
      <w:r>
        <w:rPr>
          <w:rFonts w:ascii="Times New Roman" w:hAnsi="Times New Roman"/>
          <w:sz w:val="28"/>
          <w:szCs w:val="28"/>
          <w:lang w:val="en-US"/>
        </w:rPr>
        <w:t>on a specialty 14.03.05 – pharmacology. - Vinnytsia Pirogov Memorial National Medical University, Vinnytsia, 2021.</w:t>
      </w:r>
    </w:p>
    <w:p w:rsidR="00086D89" w:rsidRDefault="00086D89" w:rsidP="00086D89">
      <w:pPr>
        <w:spacing w:line="360" w:lineRule="auto"/>
        <w:ind w:firstLine="284"/>
        <w:jc w:val="both"/>
        <w:rPr>
          <w:rFonts w:ascii="Times New Roman" w:hAnsi="Times New Roman"/>
          <w:sz w:val="28"/>
          <w:szCs w:val="28"/>
          <w:lang w:val="uk-UA"/>
        </w:rPr>
      </w:pPr>
      <w:r>
        <w:rPr>
          <w:rFonts w:ascii="Times New Roman" w:hAnsi="Times New Roman"/>
          <w:sz w:val="28"/>
          <w:szCs w:val="28"/>
          <w:lang w:val="uk-UA"/>
        </w:rPr>
        <w:t>Vascular pathology of the brain is the cause of a high degree of disability and mortality rate of patients, the vast majority of whom are the work</w:t>
      </w:r>
      <w:r>
        <w:rPr>
          <w:rFonts w:ascii="Times New Roman" w:hAnsi="Times New Roman"/>
          <w:sz w:val="28"/>
          <w:szCs w:val="28"/>
          <w:lang w:val="en-US"/>
        </w:rPr>
        <w:t>able</w:t>
      </w:r>
      <w:r>
        <w:rPr>
          <w:rFonts w:ascii="Times New Roman" w:hAnsi="Times New Roman"/>
          <w:sz w:val="28"/>
          <w:szCs w:val="28"/>
          <w:lang w:val="uk-UA"/>
        </w:rPr>
        <w:t xml:space="preserve"> population around the world, including Ukraine. The existing phenomenon of glutamate excitotoxicity is mediated by pathological hyperactivation of NMDA receptors</w:t>
      </w:r>
      <w:r>
        <w:rPr>
          <w:rFonts w:ascii="Times New Roman" w:hAnsi="Times New Roman"/>
          <w:sz w:val="28"/>
          <w:szCs w:val="28"/>
          <w:lang w:val="en-US"/>
        </w:rPr>
        <w:t>.</w:t>
      </w:r>
      <w:r>
        <w:rPr>
          <w:rFonts w:ascii="Times New Roman" w:hAnsi="Times New Roman"/>
          <w:sz w:val="28"/>
          <w:szCs w:val="28"/>
          <w:lang w:val="uk-UA"/>
        </w:rPr>
        <w:t xml:space="preserve"> </w:t>
      </w:r>
      <w:r>
        <w:rPr>
          <w:rFonts w:ascii="Times New Roman" w:hAnsi="Times New Roman"/>
          <w:sz w:val="28"/>
          <w:szCs w:val="28"/>
          <w:lang w:val="en-US"/>
        </w:rPr>
        <w:t xml:space="preserve">It </w:t>
      </w:r>
      <w:r>
        <w:rPr>
          <w:rFonts w:ascii="Times New Roman" w:hAnsi="Times New Roman"/>
          <w:sz w:val="28"/>
          <w:szCs w:val="28"/>
          <w:lang w:val="uk-UA"/>
        </w:rPr>
        <w:t xml:space="preserve">is a trigger mechanism, the initiation of which is a promising vector in the direction of which it is advisable to implement primary neuroprotective therapy. </w:t>
      </w:r>
      <w:r>
        <w:rPr>
          <w:rFonts w:ascii="Times New Roman" w:hAnsi="Times New Roman"/>
          <w:sz w:val="28"/>
          <w:szCs w:val="28"/>
          <w:lang w:val="en-US"/>
        </w:rPr>
        <w:t>In the p</w:t>
      </w:r>
      <w:r>
        <w:rPr>
          <w:rFonts w:ascii="Times New Roman" w:hAnsi="Times New Roman"/>
          <w:sz w:val="28"/>
          <w:szCs w:val="28"/>
          <w:lang w:val="uk-UA"/>
        </w:rPr>
        <w:t>reclinical evaluation of the organ protective properties of one of the derivatives of adamantane – ademol</w:t>
      </w:r>
      <w:r>
        <w:rPr>
          <w:rFonts w:ascii="Times New Roman" w:hAnsi="Times New Roman"/>
          <w:sz w:val="28"/>
          <w:szCs w:val="28"/>
          <w:lang w:val="en-US"/>
        </w:rPr>
        <w:t xml:space="preserve">, </w:t>
      </w:r>
      <w:r>
        <w:rPr>
          <w:rFonts w:ascii="Times New Roman" w:hAnsi="Times New Roman"/>
          <w:sz w:val="28"/>
          <w:szCs w:val="28"/>
          <w:lang w:val="uk-UA"/>
        </w:rPr>
        <w:t xml:space="preserve">a modulating effect </w:t>
      </w:r>
      <w:r>
        <w:rPr>
          <w:rFonts w:ascii="Times New Roman" w:hAnsi="Times New Roman"/>
          <w:sz w:val="28"/>
          <w:szCs w:val="28"/>
          <w:lang w:val="en-US"/>
        </w:rPr>
        <w:t>was</w:t>
      </w:r>
      <w:r>
        <w:rPr>
          <w:rFonts w:ascii="Times New Roman" w:hAnsi="Times New Roman"/>
          <w:sz w:val="28"/>
          <w:szCs w:val="28"/>
          <w:lang w:val="uk-UA"/>
        </w:rPr>
        <w:t xml:space="preserve"> revealed on the polyamine site of NMDA receptors</w:t>
      </w:r>
      <w:r>
        <w:rPr>
          <w:rFonts w:ascii="Times New Roman" w:hAnsi="Times New Roman"/>
          <w:sz w:val="28"/>
          <w:szCs w:val="28"/>
          <w:lang w:val="en-US"/>
        </w:rPr>
        <w:t xml:space="preserve"> </w:t>
      </w:r>
      <w:r>
        <w:rPr>
          <w:rFonts w:ascii="Times New Roman" w:hAnsi="Times New Roman"/>
          <w:sz w:val="28"/>
          <w:szCs w:val="28"/>
          <w:lang w:val="uk-UA"/>
        </w:rPr>
        <w:t>with rapid kinetics of "blockade-</w:t>
      </w:r>
      <w:r>
        <w:rPr>
          <w:rFonts w:ascii="Times New Roman" w:hAnsi="Times New Roman"/>
          <w:sz w:val="28"/>
          <w:szCs w:val="28"/>
          <w:lang w:val="en-US"/>
        </w:rPr>
        <w:t>de</w:t>
      </w:r>
      <w:r>
        <w:rPr>
          <w:rFonts w:ascii="Times New Roman" w:hAnsi="Times New Roman"/>
          <w:sz w:val="28"/>
          <w:szCs w:val="28"/>
          <w:lang w:val="uk-UA"/>
        </w:rPr>
        <w:t>blockade". Pharmacodynamic dossier of ademol has some activities, namely: acto-, cardio-, neuroprotective, nootropic, analgesic, anticholinesterase, ganglion blocking, tranquilizing and antiamnestic. Experimental studies have proven the organ protective efficacy of ademol in ischemic lesions of the brain, heart, etc.</w:t>
      </w:r>
      <w:r>
        <w:rPr>
          <w:rFonts w:ascii="Times New Roman" w:hAnsi="Times New Roman"/>
          <w:sz w:val="28"/>
          <w:szCs w:val="28"/>
          <w:lang w:val="en-US"/>
        </w:rPr>
        <w:t xml:space="preserve"> T</w:t>
      </w:r>
      <w:r>
        <w:rPr>
          <w:rFonts w:ascii="Times New Roman" w:hAnsi="Times New Roman"/>
          <w:sz w:val="28"/>
          <w:szCs w:val="28"/>
          <w:lang w:val="uk-UA"/>
        </w:rPr>
        <w:t xml:space="preserve">he components of the mechanism of its protective action </w:t>
      </w:r>
      <w:r>
        <w:rPr>
          <w:rFonts w:ascii="Times New Roman" w:hAnsi="Times New Roman"/>
          <w:sz w:val="28"/>
          <w:szCs w:val="28"/>
          <w:lang w:val="en-US"/>
        </w:rPr>
        <w:t>were</w:t>
      </w:r>
      <w:r>
        <w:rPr>
          <w:rFonts w:ascii="Times New Roman" w:hAnsi="Times New Roman"/>
          <w:sz w:val="28"/>
          <w:szCs w:val="28"/>
          <w:lang w:val="uk-UA"/>
        </w:rPr>
        <w:t xml:space="preserve"> </w:t>
      </w:r>
      <w:r>
        <w:rPr>
          <w:rFonts w:ascii="Times New Roman" w:hAnsi="Times New Roman"/>
          <w:sz w:val="28"/>
          <w:szCs w:val="28"/>
          <w:lang w:val="en-US"/>
        </w:rPr>
        <w:t>summarized</w:t>
      </w:r>
      <w:r>
        <w:rPr>
          <w:rFonts w:ascii="Times New Roman" w:hAnsi="Times New Roman"/>
          <w:sz w:val="28"/>
          <w:szCs w:val="28"/>
          <w:lang w:val="uk-UA"/>
        </w:rPr>
        <w:t>, including metabolic</w:t>
      </w:r>
      <w:r>
        <w:rPr>
          <w:rFonts w:ascii="Times New Roman" w:hAnsi="Times New Roman"/>
          <w:sz w:val="28"/>
          <w:szCs w:val="28"/>
          <w:lang w:val="en-US"/>
        </w:rPr>
        <w:t>-</w:t>
      </w:r>
      <w:r>
        <w:rPr>
          <w:rFonts w:ascii="Times New Roman" w:hAnsi="Times New Roman"/>
          <w:sz w:val="28"/>
          <w:szCs w:val="28"/>
          <w:lang w:val="uk-UA"/>
        </w:rPr>
        <w:t>otropic properties and the ability to counteract destructive processes, such as apoptosis, necrosis, proliferation.</w:t>
      </w:r>
    </w:p>
    <w:p w:rsidR="00086D89" w:rsidRDefault="00086D89" w:rsidP="00086D89">
      <w:pPr>
        <w:spacing w:line="360" w:lineRule="auto"/>
        <w:ind w:firstLine="284"/>
        <w:jc w:val="both"/>
        <w:rPr>
          <w:rFonts w:ascii="Times New Roman" w:hAnsi="Times New Roman"/>
          <w:sz w:val="28"/>
          <w:szCs w:val="28"/>
          <w:lang w:val="uk-UA"/>
        </w:rPr>
      </w:pPr>
      <w:r>
        <w:rPr>
          <w:rFonts w:ascii="Times New Roman" w:hAnsi="Times New Roman"/>
          <w:sz w:val="28"/>
          <w:szCs w:val="28"/>
          <w:lang w:val="uk-UA"/>
        </w:rPr>
        <w:t xml:space="preserve">The dissertation presents a new solution to the current problem of pharmacology, which is to increase the effectiveness of neuroprotection in intracranial hemorrhage based on experimentally justified feasibility and the possibility of using </w:t>
      </w:r>
      <w:r>
        <w:rPr>
          <w:rFonts w:ascii="Times New Roman" w:hAnsi="Times New Roman"/>
          <w:sz w:val="28"/>
          <w:szCs w:val="28"/>
          <w:lang w:val="en-US"/>
        </w:rPr>
        <w:t>according to the new administration of</w:t>
      </w:r>
      <w:r>
        <w:rPr>
          <w:rFonts w:ascii="Times New Roman" w:hAnsi="Times New Roman"/>
          <w:sz w:val="28"/>
          <w:szCs w:val="28"/>
          <w:lang w:val="uk-UA"/>
        </w:rPr>
        <w:t xml:space="preserve"> NMDA receptor blocker </w:t>
      </w:r>
      <w:r>
        <w:rPr>
          <w:rFonts w:ascii="Times New Roman" w:hAnsi="Times New Roman"/>
          <w:sz w:val="28"/>
          <w:szCs w:val="28"/>
          <w:lang w:val="en-US"/>
        </w:rPr>
        <w:t xml:space="preserve">of </w:t>
      </w:r>
      <w:r>
        <w:rPr>
          <w:rFonts w:ascii="Times New Roman" w:hAnsi="Times New Roman"/>
          <w:sz w:val="28"/>
          <w:szCs w:val="28"/>
          <w:lang w:val="uk-UA"/>
        </w:rPr>
        <w:t>1.0% solution of 1-adamantylthyloxy-3-morpholino-2 -propanol hydrochloride (ademol).</w:t>
      </w:r>
    </w:p>
    <w:p w:rsidR="00086D89" w:rsidRDefault="00086D89" w:rsidP="00086D89">
      <w:pPr>
        <w:spacing w:line="360" w:lineRule="auto"/>
        <w:ind w:firstLine="284"/>
        <w:jc w:val="both"/>
        <w:rPr>
          <w:rFonts w:ascii="Times New Roman" w:hAnsi="Times New Roman"/>
          <w:sz w:val="28"/>
          <w:szCs w:val="28"/>
          <w:lang w:val="uk-UA"/>
        </w:rPr>
      </w:pPr>
      <w:r>
        <w:rPr>
          <w:rFonts w:ascii="Times New Roman" w:hAnsi="Times New Roman"/>
          <w:sz w:val="28"/>
          <w:szCs w:val="28"/>
          <w:lang w:val="uk-UA"/>
        </w:rPr>
        <w:t>The experiments were performed on 1144 white nonlinear sexually mature male rats, aged 2.5-3 months</w:t>
      </w:r>
      <w:r>
        <w:rPr>
          <w:rFonts w:ascii="Times New Roman" w:hAnsi="Times New Roman"/>
          <w:sz w:val="28"/>
          <w:szCs w:val="28"/>
          <w:lang w:val="en-US"/>
        </w:rPr>
        <w:t>, and</w:t>
      </w:r>
      <w:r>
        <w:rPr>
          <w:rFonts w:ascii="Times New Roman" w:hAnsi="Times New Roman"/>
          <w:sz w:val="28"/>
          <w:szCs w:val="28"/>
          <w:lang w:val="uk-UA"/>
        </w:rPr>
        <w:t xml:space="preserve"> with an average body weight of at least 160 g (160-180</w:t>
      </w:r>
      <w:r>
        <w:rPr>
          <w:rFonts w:ascii="Times New Roman" w:hAnsi="Times New Roman"/>
          <w:sz w:val="28"/>
          <w:szCs w:val="28"/>
          <w:lang w:val="en-US"/>
        </w:rPr>
        <w:t> </w:t>
      </w:r>
      <w:r>
        <w:rPr>
          <w:rFonts w:ascii="Times New Roman" w:hAnsi="Times New Roman"/>
          <w:sz w:val="28"/>
          <w:szCs w:val="28"/>
          <w:lang w:val="uk-UA"/>
        </w:rPr>
        <w:t xml:space="preserve">g). </w:t>
      </w:r>
      <w:r>
        <w:rPr>
          <w:rFonts w:ascii="Times New Roman" w:hAnsi="Times New Roman"/>
          <w:sz w:val="28"/>
          <w:szCs w:val="28"/>
          <w:lang w:val="uk-UA"/>
        </w:rPr>
        <w:lastRenderedPageBreak/>
        <w:t xml:space="preserve">Compliance with ethical standards is certified by the Committee on Bioethics of Vinnytsia </w:t>
      </w:r>
      <w:r>
        <w:rPr>
          <w:rFonts w:ascii="Times New Roman" w:hAnsi="Times New Roman"/>
          <w:sz w:val="28"/>
          <w:szCs w:val="28"/>
          <w:lang w:val="en-US"/>
        </w:rPr>
        <w:t xml:space="preserve">Pirogov Memorial </w:t>
      </w:r>
      <w:r>
        <w:rPr>
          <w:rFonts w:ascii="Times New Roman" w:hAnsi="Times New Roman"/>
          <w:sz w:val="28"/>
          <w:szCs w:val="28"/>
          <w:lang w:val="uk-UA"/>
        </w:rPr>
        <w:t>National Medical University</w:t>
      </w:r>
      <w:r>
        <w:rPr>
          <w:rFonts w:ascii="Times New Roman" w:hAnsi="Times New Roman"/>
          <w:sz w:val="28"/>
          <w:szCs w:val="28"/>
          <w:lang w:val="en-US"/>
        </w:rPr>
        <w:t xml:space="preserve"> </w:t>
      </w:r>
      <w:r>
        <w:rPr>
          <w:rFonts w:ascii="Times New Roman" w:hAnsi="Times New Roman"/>
          <w:sz w:val="28"/>
          <w:szCs w:val="28"/>
          <w:lang w:val="uk-UA"/>
        </w:rPr>
        <w:t>(protocol №3 from 25.05.2020).</w:t>
      </w:r>
    </w:p>
    <w:p w:rsidR="00086D89" w:rsidRDefault="00086D89" w:rsidP="00086D89">
      <w:pPr>
        <w:spacing w:line="360" w:lineRule="auto"/>
        <w:ind w:firstLine="284"/>
        <w:jc w:val="both"/>
        <w:rPr>
          <w:rFonts w:ascii="Times New Roman" w:hAnsi="Times New Roman"/>
          <w:sz w:val="28"/>
          <w:szCs w:val="28"/>
          <w:lang w:val="en-US"/>
        </w:rPr>
      </w:pPr>
      <w:r>
        <w:rPr>
          <w:rFonts w:ascii="Times New Roman" w:hAnsi="Times New Roman"/>
          <w:sz w:val="28"/>
          <w:szCs w:val="28"/>
          <w:lang w:val="uk-UA"/>
        </w:rPr>
        <w:t>Comparative assessment</w:t>
      </w:r>
      <w:r>
        <w:rPr>
          <w:rFonts w:ascii="Times New Roman" w:hAnsi="Times New Roman"/>
          <w:sz w:val="28"/>
          <w:szCs w:val="28"/>
          <w:lang w:val="en-US"/>
        </w:rPr>
        <w:t>s</w:t>
      </w:r>
      <w:r>
        <w:rPr>
          <w:rFonts w:ascii="Times New Roman" w:hAnsi="Times New Roman"/>
          <w:sz w:val="28"/>
          <w:szCs w:val="28"/>
          <w:lang w:val="uk-UA"/>
        </w:rPr>
        <w:t xml:space="preserve"> of the effect of an industrial sample </w:t>
      </w:r>
      <w:r>
        <w:rPr>
          <w:rFonts w:ascii="Times New Roman" w:hAnsi="Times New Roman"/>
          <w:sz w:val="28"/>
          <w:szCs w:val="28"/>
          <w:lang w:val="en-US"/>
        </w:rPr>
        <w:t xml:space="preserve">of </w:t>
      </w:r>
      <w:r>
        <w:rPr>
          <w:rFonts w:ascii="Times New Roman" w:hAnsi="Times New Roman"/>
          <w:sz w:val="28"/>
          <w:szCs w:val="28"/>
          <w:lang w:val="uk-UA"/>
        </w:rPr>
        <w:t>1.0% ademol solution and reference</w:t>
      </w:r>
      <w:r>
        <w:rPr>
          <w:rFonts w:ascii="Times New Roman" w:hAnsi="Times New Roman"/>
          <w:sz w:val="28"/>
          <w:szCs w:val="28"/>
          <w:lang w:val="en-US"/>
        </w:rPr>
        <w:t>-</w:t>
      </w:r>
      <w:r>
        <w:rPr>
          <w:rFonts w:ascii="Times New Roman" w:hAnsi="Times New Roman"/>
          <w:sz w:val="28"/>
          <w:szCs w:val="28"/>
          <w:lang w:val="uk-UA"/>
        </w:rPr>
        <w:t>drugs on survival, neurological status, mnemotropic activity, functional indicators of microcirculation, cerebral and central hemodynamics, fluctuations in intracranial pressure (I</w:t>
      </w:r>
      <w:r>
        <w:rPr>
          <w:rFonts w:ascii="Times New Roman" w:hAnsi="Times New Roman"/>
          <w:sz w:val="28"/>
          <w:szCs w:val="28"/>
          <w:lang w:val="en-US"/>
        </w:rPr>
        <w:t>CP</w:t>
      </w:r>
      <w:r>
        <w:rPr>
          <w:rFonts w:ascii="Times New Roman" w:hAnsi="Times New Roman"/>
          <w:sz w:val="28"/>
          <w:szCs w:val="28"/>
          <w:lang w:val="uk-UA"/>
        </w:rPr>
        <w:t xml:space="preserve">), biochemical and morphocytometric </w:t>
      </w:r>
      <w:r>
        <w:rPr>
          <w:rFonts w:ascii="Times New Roman" w:hAnsi="Times New Roman"/>
          <w:iCs/>
          <w:sz w:val="28"/>
          <w:szCs w:val="28"/>
          <w:lang w:val="en-US"/>
        </w:rPr>
        <w:t xml:space="preserve">changes were performed under the conditions of experimental hemorrhagic stroke on examples of intracerebral and subarachnoid hemorrhage.  </w:t>
      </w:r>
      <w:r>
        <w:rPr>
          <w:rFonts w:ascii="Times New Roman" w:hAnsi="Times New Roman"/>
          <w:sz w:val="28"/>
          <w:szCs w:val="28"/>
          <w:lang w:val="uk-UA"/>
        </w:rPr>
        <w:t xml:space="preserve">The first was reproduced by introducing into the inner capsule of the brain (stereotactic projection coordinates: H = 7.0 mm, L = 3.0 mm, A = 1.5 mm from the bregma) </w:t>
      </w:r>
      <w:r>
        <w:rPr>
          <w:rFonts w:ascii="Times New Roman" w:hAnsi="Times New Roman"/>
          <w:sz w:val="28"/>
          <w:szCs w:val="28"/>
          <w:lang w:val="en-US"/>
        </w:rPr>
        <w:t xml:space="preserve">of </w:t>
      </w:r>
      <w:r>
        <w:rPr>
          <w:rFonts w:ascii="Times New Roman" w:hAnsi="Times New Roman"/>
          <w:sz w:val="28"/>
          <w:szCs w:val="28"/>
          <w:lang w:val="uk-UA"/>
        </w:rPr>
        <w:t xml:space="preserve">auto </w:t>
      </w:r>
      <w:r>
        <w:rPr>
          <w:rFonts w:ascii="Times New Roman" w:hAnsi="Times New Roman"/>
          <w:sz w:val="28"/>
          <w:szCs w:val="28"/>
          <w:lang w:val="en-US"/>
        </w:rPr>
        <w:t xml:space="preserve">blood, the </w:t>
      </w:r>
      <w:r>
        <w:rPr>
          <w:rFonts w:ascii="Times New Roman" w:hAnsi="Times New Roman"/>
          <w:sz w:val="28"/>
          <w:szCs w:val="28"/>
          <w:lang w:val="uk-UA"/>
        </w:rPr>
        <w:t xml:space="preserve">volume </w:t>
      </w:r>
      <w:r>
        <w:rPr>
          <w:rFonts w:ascii="Times New Roman" w:hAnsi="Times New Roman"/>
          <w:sz w:val="28"/>
          <w:szCs w:val="28"/>
          <w:lang w:val="en-US"/>
        </w:rPr>
        <w:t xml:space="preserve">is </w:t>
      </w:r>
      <w:r>
        <w:rPr>
          <w:rFonts w:ascii="Times New Roman" w:hAnsi="Times New Roman"/>
          <w:sz w:val="28"/>
          <w:szCs w:val="28"/>
          <w:lang w:val="uk-UA"/>
        </w:rPr>
        <w:t>20 μl/100 g</w:t>
      </w:r>
      <w:r>
        <w:rPr>
          <w:rFonts w:ascii="Times New Roman" w:hAnsi="Times New Roman"/>
          <w:sz w:val="28"/>
          <w:szCs w:val="28"/>
          <w:lang w:val="en-US"/>
        </w:rPr>
        <w:t>.</w:t>
      </w:r>
      <w:r>
        <w:rPr>
          <w:rFonts w:ascii="Times New Roman" w:hAnsi="Times New Roman"/>
          <w:sz w:val="28"/>
          <w:szCs w:val="28"/>
          <w:lang w:val="uk-UA"/>
        </w:rPr>
        <w:t xml:space="preserve"> </w:t>
      </w:r>
      <w:r>
        <w:rPr>
          <w:rFonts w:ascii="Times New Roman" w:hAnsi="Times New Roman"/>
          <w:sz w:val="28"/>
          <w:szCs w:val="28"/>
          <w:lang w:val="en-US"/>
        </w:rPr>
        <w:t>T</w:t>
      </w:r>
      <w:r>
        <w:rPr>
          <w:rFonts w:ascii="Times New Roman" w:hAnsi="Times New Roman"/>
          <w:sz w:val="28"/>
          <w:szCs w:val="28"/>
          <w:lang w:val="uk-UA"/>
        </w:rPr>
        <w:t xml:space="preserve">he second was reproduced by injection </w:t>
      </w:r>
      <w:r>
        <w:rPr>
          <w:rFonts w:ascii="Times New Roman" w:hAnsi="Times New Roman"/>
          <w:sz w:val="28"/>
          <w:szCs w:val="28"/>
          <w:lang w:val="en-US"/>
        </w:rPr>
        <w:t xml:space="preserve">of </w:t>
      </w:r>
      <w:r>
        <w:rPr>
          <w:rFonts w:ascii="Times New Roman" w:hAnsi="Times New Roman"/>
          <w:sz w:val="28"/>
          <w:szCs w:val="28"/>
          <w:lang w:val="uk-UA"/>
        </w:rPr>
        <w:t>heparinized autologous blood in the amount of 0.1 ml/kg through a catheter into the subarachnoid space (trepanation hole was located in a place similar to the previous model)</w:t>
      </w:r>
      <w:r>
        <w:rPr>
          <w:rFonts w:ascii="Times New Roman" w:hAnsi="Times New Roman"/>
          <w:sz w:val="28"/>
          <w:szCs w:val="28"/>
          <w:lang w:val="en-US"/>
        </w:rPr>
        <w:t>.</w:t>
      </w:r>
    </w:p>
    <w:p w:rsidR="00086D89" w:rsidRDefault="00086D89" w:rsidP="00086D89">
      <w:pPr>
        <w:spacing w:line="360" w:lineRule="auto"/>
        <w:ind w:firstLine="284"/>
        <w:jc w:val="both"/>
        <w:rPr>
          <w:rFonts w:ascii="Times New Roman" w:hAnsi="Times New Roman"/>
          <w:sz w:val="28"/>
          <w:szCs w:val="28"/>
          <w:lang w:val="uk-UA"/>
        </w:rPr>
      </w:pPr>
      <w:r>
        <w:rPr>
          <w:rFonts w:ascii="Times New Roman" w:hAnsi="Times New Roman"/>
          <w:sz w:val="28"/>
          <w:szCs w:val="28"/>
          <w:lang w:val="uk-UA"/>
        </w:rPr>
        <w:t>Both models reflect the clinical picture of hemorrhagic stroke and are adequate for preclinical studies of potential neuroprotective substances.</w:t>
      </w:r>
    </w:p>
    <w:p w:rsidR="00086D89" w:rsidRDefault="00086D89" w:rsidP="00086D89">
      <w:pPr>
        <w:spacing w:line="360" w:lineRule="auto"/>
        <w:ind w:firstLine="284"/>
        <w:jc w:val="both"/>
        <w:rPr>
          <w:rFonts w:ascii="Times New Roman" w:hAnsi="Times New Roman"/>
          <w:sz w:val="28"/>
          <w:szCs w:val="28"/>
          <w:lang w:val="uk-UA"/>
        </w:rPr>
      </w:pPr>
      <w:r>
        <w:rPr>
          <w:rFonts w:ascii="Times New Roman" w:hAnsi="Times New Roman"/>
          <w:sz w:val="28"/>
          <w:szCs w:val="28"/>
          <w:lang w:val="en-US"/>
        </w:rPr>
        <w:t>A model was used f</w:t>
      </w:r>
      <w:r>
        <w:rPr>
          <w:rFonts w:ascii="Times New Roman" w:hAnsi="Times New Roman"/>
          <w:sz w:val="28"/>
          <w:szCs w:val="28"/>
          <w:lang w:val="uk-UA"/>
        </w:rPr>
        <w:t>or the primary screening of promising neuroprotectors</w:t>
      </w:r>
      <w:r>
        <w:rPr>
          <w:rFonts w:ascii="Times New Roman" w:hAnsi="Times New Roman"/>
          <w:sz w:val="28"/>
          <w:szCs w:val="28"/>
          <w:lang w:val="en-US"/>
        </w:rPr>
        <w:t>.</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ccording to a set of criteria (mortality (survival), neurological defici</w:t>
      </w:r>
      <w:r>
        <w:rPr>
          <w:rFonts w:ascii="Times New Roman" w:hAnsi="Times New Roman"/>
          <w:sz w:val="28"/>
          <w:szCs w:val="28"/>
          <w:lang w:val="en-US"/>
        </w:rPr>
        <w:t>ency</w:t>
      </w:r>
      <w:r>
        <w:rPr>
          <w:rFonts w:ascii="Times New Roman" w:hAnsi="Times New Roman"/>
          <w:sz w:val="28"/>
          <w:szCs w:val="28"/>
          <w:lang w:val="uk-UA"/>
        </w:rPr>
        <w:t>, neuro</w:t>
      </w:r>
      <w:r>
        <w:rPr>
          <w:rFonts w:ascii="Times New Roman" w:hAnsi="Times New Roman"/>
          <w:sz w:val="28"/>
          <w:szCs w:val="28"/>
          <w:lang w:val="en-US"/>
        </w:rPr>
        <w:t>-</w:t>
      </w:r>
      <w:r>
        <w:rPr>
          <w:rFonts w:ascii="Times New Roman" w:hAnsi="Times New Roman"/>
          <w:sz w:val="28"/>
          <w:szCs w:val="28"/>
          <w:lang w:val="uk-UA"/>
        </w:rPr>
        <w:t xml:space="preserve"> markers activity, intracranial pressure parameters),</w:t>
      </w:r>
      <w:r>
        <w:rPr>
          <w:rFonts w:ascii="Times New Roman" w:hAnsi="Times New Roman"/>
          <w:sz w:val="28"/>
          <w:szCs w:val="28"/>
          <w:lang w:val="en-US"/>
        </w:rPr>
        <w:t xml:space="preserve"> it </w:t>
      </w:r>
      <w:r>
        <w:rPr>
          <w:rFonts w:ascii="Times New Roman" w:hAnsi="Times New Roman"/>
          <w:sz w:val="28"/>
          <w:szCs w:val="28"/>
          <w:lang w:val="uk-UA"/>
        </w:rPr>
        <w:t xml:space="preserve">allows </w:t>
      </w:r>
      <w:r>
        <w:rPr>
          <w:rFonts w:ascii="Times New Roman" w:hAnsi="Times New Roman"/>
          <w:sz w:val="28"/>
          <w:szCs w:val="28"/>
          <w:lang w:val="en-US"/>
        </w:rPr>
        <w:t>classifying</w:t>
      </w:r>
      <w:r>
        <w:rPr>
          <w:rFonts w:ascii="Times New Roman" w:hAnsi="Times New Roman"/>
          <w:sz w:val="28"/>
          <w:szCs w:val="28"/>
          <w:lang w:val="uk-UA"/>
        </w:rPr>
        <w:t xml:space="preserve"> hemorrhage into three degrees of severity in the critical period of stroke (48 h) depending on the volume of blood injected into </w:t>
      </w:r>
      <w:r>
        <w:rPr>
          <w:rFonts w:ascii="Times New Roman" w:hAnsi="Times New Roman"/>
          <w:sz w:val="28"/>
          <w:szCs w:val="28"/>
          <w:lang w:val="en-US"/>
        </w:rPr>
        <w:t xml:space="preserve">rats’ </w:t>
      </w:r>
      <w:r>
        <w:rPr>
          <w:rFonts w:ascii="Times New Roman" w:hAnsi="Times New Roman"/>
          <w:sz w:val="28"/>
          <w:szCs w:val="28"/>
          <w:lang w:val="uk-UA"/>
        </w:rPr>
        <w:t>subarachnoid brain. It has been established that subarachnoid hemorrhage (SAH) of severe, moderate, and mild severity, which is reproduced when blood is injected into the subarachnoid space with a volume of not less than 0.1; 0.07 and 0.05 ml/kg, respectively, w</w:t>
      </w:r>
      <w:r>
        <w:rPr>
          <w:rFonts w:ascii="Times New Roman" w:hAnsi="Times New Roman"/>
          <w:sz w:val="28"/>
          <w:szCs w:val="28"/>
          <w:lang w:val="en-US"/>
        </w:rPr>
        <w:t>as</w:t>
      </w:r>
      <w:r>
        <w:rPr>
          <w:rFonts w:ascii="Times New Roman" w:hAnsi="Times New Roman"/>
          <w:sz w:val="28"/>
          <w:szCs w:val="28"/>
          <w:lang w:val="uk-UA"/>
        </w:rPr>
        <w:t xml:space="preserve"> characterized by the mortality of animals (in the first case, the survival rate </w:t>
      </w:r>
      <w:r>
        <w:rPr>
          <w:rFonts w:ascii="Times New Roman" w:hAnsi="Times New Roman"/>
          <w:sz w:val="28"/>
          <w:szCs w:val="28"/>
          <w:lang w:val="en-US"/>
        </w:rPr>
        <w:t>was</w:t>
      </w:r>
      <w:r>
        <w:rPr>
          <w:rFonts w:ascii="Times New Roman" w:hAnsi="Times New Roman"/>
          <w:sz w:val="28"/>
          <w:szCs w:val="28"/>
          <w:lang w:val="uk-UA"/>
        </w:rPr>
        <w:t xml:space="preserve"> not more than 30</w:t>
      </w:r>
      <w:r>
        <w:rPr>
          <w:rFonts w:ascii="Times New Roman" w:hAnsi="Times New Roman"/>
          <w:sz w:val="28"/>
          <w:szCs w:val="28"/>
          <w:lang w:val="en-US"/>
        </w:rPr>
        <w:t>%</w:t>
      </w:r>
      <w:r>
        <w:rPr>
          <w:rFonts w:ascii="Times New Roman" w:hAnsi="Times New Roman"/>
          <w:sz w:val="28"/>
          <w:szCs w:val="28"/>
          <w:lang w:val="uk-UA"/>
        </w:rPr>
        <w:t xml:space="preserve">, </w:t>
      </w:r>
      <w:r>
        <w:rPr>
          <w:rFonts w:ascii="Times New Roman" w:hAnsi="Times New Roman"/>
          <w:sz w:val="28"/>
          <w:szCs w:val="28"/>
          <w:lang w:val="en-US"/>
        </w:rPr>
        <w:t xml:space="preserve">in </w:t>
      </w:r>
      <w:r>
        <w:rPr>
          <w:rFonts w:ascii="Times New Roman" w:hAnsi="Times New Roman"/>
          <w:sz w:val="28"/>
          <w:szCs w:val="28"/>
          <w:lang w:val="uk-UA"/>
        </w:rPr>
        <w:t>the second</w:t>
      </w:r>
      <w:r>
        <w:rPr>
          <w:rFonts w:ascii="Times New Roman" w:hAnsi="Times New Roman"/>
          <w:sz w:val="28"/>
          <w:szCs w:val="28"/>
          <w:lang w:val="en-US"/>
        </w:rPr>
        <w:t xml:space="preserve"> case</w:t>
      </w:r>
      <w:r>
        <w:rPr>
          <w:rFonts w:ascii="Times New Roman" w:hAnsi="Times New Roman"/>
          <w:sz w:val="28"/>
          <w:szCs w:val="28"/>
          <w:lang w:val="uk-UA"/>
        </w:rPr>
        <w:t xml:space="preserve"> </w:t>
      </w:r>
      <w:r>
        <w:rPr>
          <w:rFonts w:ascii="Times New Roman" w:hAnsi="Times New Roman"/>
          <w:sz w:val="28"/>
          <w:szCs w:val="28"/>
          <w:lang w:val="en-US"/>
        </w:rPr>
        <w:t xml:space="preserve">it was </w:t>
      </w:r>
      <w:r>
        <w:rPr>
          <w:rFonts w:ascii="Times New Roman" w:hAnsi="Times New Roman"/>
          <w:sz w:val="28"/>
          <w:szCs w:val="28"/>
          <w:lang w:val="uk-UA"/>
        </w:rPr>
        <w:t>70</w:t>
      </w:r>
      <w:r>
        <w:rPr>
          <w:rFonts w:ascii="Times New Roman" w:hAnsi="Times New Roman"/>
          <w:sz w:val="28"/>
          <w:szCs w:val="28"/>
          <w:lang w:val="en-US"/>
        </w:rPr>
        <w:t>%</w:t>
      </w:r>
      <w:r>
        <w:rPr>
          <w:rFonts w:ascii="Times New Roman" w:hAnsi="Times New Roman"/>
          <w:sz w:val="28"/>
          <w:szCs w:val="28"/>
          <w:lang w:val="uk-UA"/>
        </w:rPr>
        <w:t xml:space="preserve">, </w:t>
      </w:r>
      <w:r>
        <w:rPr>
          <w:rFonts w:ascii="Times New Roman" w:hAnsi="Times New Roman"/>
          <w:sz w:val="28"/>
          <w:szCs w:val="28"/>
          <w:lang w:val="en-US"/>
        </w:rPr>
        <w:t xml:space="preserve">and in </w:t>
      </w:r>
      <w:r>
        <w:rPr>
          <w:rFonts w:ascii="Times New Roman" w:hAnsi="Times New Roman"/>
          <w:sz w:val="28"/>
          <w:szCs w:val="28"/>
          <w:lang w:val="uk-UA"/>
        </w:rPr>
        <w:t>the third</w:t>
      </w:r>
      <w:r>
        <w:rPr>
          <w:rFonts w:ascii="Times New Roman" w:hAnsi="Times New Roman"/>
          <w:sz w:val="28"/>
          <w:szCs w:val="28"/>
          <w:lang w:val="en-US"/>
        </w:rPr>
        <w:t xml:space="preserve"> case</w:t>
      </w:r>
      <w:r>
        <w:rPr>
          <w:rFonts w:ascii="Times New Roman" w:hAnsi="Times New Roman"/>
          <w:sz w:val="28"/>
          <w:szCs w:val="28"/>
          <w:lang w:val="uk-UA"/>
        </w:rPr>
        <w:t xml:space="preserve"> - 80%); an increase in the activity of neuron destruction marker of NSE on average to 4.889 ± 0.139 ng/ml (severe stroke), 3.313 ± 0.092 ng/ml (moderate), 2.259 ± 0.084 ng/ml (mild); altered neurological status (existing cerebral deficiency on </w:t>
      </w:r>
      <w:r>
        <w:rPr>
          <w:rFonts w:ascii="Times New Roman" w:hAnsi="Times New Roman"/>
          <w:sz w:val="28"/>
          <w:szCs w:val="28"/>
          <w:lang w:val="en-US"/>
        </w:rPr>
        <w:t>C. P.</w:t>
      </w:r>
      <w:r>
        <w:rPr>
          <w:rFonts w:ascii="Times New Roman" w:hAnsi="Times New Roman"/>
          <w:sz w:val="28"/>
          <w:szCs w:val="28"/>
          <w:lang w:val="uk-UA"/>
        </w:rPr>
        <w:t xml:space="preserve"> McGraw scale </w:t>
      </w:r>
      <w:r>
        <w:rPr>
          <w:rFonts w:ascii="Times New Roman" w:hAnsi="Times New Roman"/>
          <w:sz w:val="28"/>
          <w:szCs w:val="28"/>
          <w:lang w:val="en-US"/>
        </w:rPr>
        <w:t xml:space="preserve">was </w:t>
      </w:r>
      <w:r>
        <w:rPr>
          <w:rFonts w:ascii="Times New Roman" w:hAnsi="Times New Roman"/>
          <w:sz w:val="28"/>
          <w:szCs w:val="28"/>
          <w:lang w:val="uk-UA"/>
        </w:rPr>
        <w:t xml:space="preserve">11.93 ± 0.33, 6.53 ± 0.33 and 5.07 ± 0.28 points according to the amount of blood); escalation of </w:t>
      </w:r>
      <w:r>
        <w:rPr>
          <w:rFonts w:ascii="Times New Roman" w:hAnsi="Times New Roman"/>
          <w:sz w:val="28"/>
          <w:szCs w:val="28"/>
          <w:lang w:val="uk-UA"/>
        </w:rPr>
        <w:lastRenderedPageBreak/>
        <w:t>the intracranial pressure parameter to 16.429 ± 0.571, 10.571 ± 0.429 and 7.571 ± 0.369 USD respectively (p &lt;0,05).</w:t>
      </w:r>
    </w:p>
    <w:p w:rsidR="00086D89" w:rsidRDefault="00086D89" w:rsidP="00086D89">
      <w:pPr>
        <w:spacing w:line="360" w:lineRule="auto"/>
        <w:ind w:firstLine="284"/>
        <w:jc w:val="both"/>
        <w:rPr>
          <w:rFonts w:ascii="Times New Roman" w:hAnsi="Times New Roman"/>
          <w:sz w:val="28"/>
          <w:szCs w:val="28"/>
          <w:lang w:val="uk-UA"/>
        </w:rPr>
      </w:pPr>
      <w:r>
        <w:rPr>
          <w:rFonts w:ascii="Times New Roman" w:hAnsi="Times New Roman"/>
          <w:sz w:val="28"/>
          <w:szCs w:val="28"/>
          <w:lang w:val="uk-UA"/>
        </w:rPr>
        <w:t>In a model of severe subarachnoid hemorrhage, a conditionally effective therapeutic dose of ademol at the level of 2 mg/kg was verified, the therapy of which helped to reduce</w:t>
      </w:r>
      <w:r>
        <w:rPr>
          <w:rFonts w:ascii="Times New Roman" w:hAnsi="Times New Roman"/>
          <w:sz w:val="28"/>
          <w:szCs w:val="28"/>
          <w:lang w:val="en-US"/>
        </w:rPr>
        <w:t xml:space="preserve"> the following data</w:t>
      </w:r>
      <w:r>
        <w:rPr>
          <w:rFonts w:ascii="Times New Roman" w:hAnsi="Times New Roman"/>
          <w:sz w:val="28"/>
          <w:szCs w:val="28"/>
          <w:lang w:val="uk-UA"/>
        </w:rPr>
        <w:t>: mortality to 10%, neurological deficiency to 5.73 ± 0.19 points, and a drop in intracranial pressure to 5.7 ± 0.286 units (p &lt;0.05), showing mnemotropic activity significantly better than all reference</w:t>
      </w:r>
      <w:r>
        <w:rPr>
          <w:rFonts w:ascii="Times New Roman" w:hAnsi="Times New Roman"/>
          <w:sz w:val="28"/>
          <w:szCs w:val="28"/>
          <w:lang w:val="en-US"/>
        </w:rPr>
        <w:t>-</w:t>
      </w:r>
      <w:r>
        <w:rPr>
          <w:rFonts w:ascii="Times New Roman" w:hAnsi="Times New Roman"/>
          <w:sz w:val="28"/>
          <w:szCs w:val="28"/>
          <w:lang w:val="uk-UA"/>
        </w:rPr>
        <w:t>drugs.</w:t>
      </w:r>
    </w:p>
    <w:p w:rsidR="00086D89" w:rsidRDefault="00086D89" w:rsidP="00086D89">
      <w:pPr>
        <w:spacing w:line="360" w:lineRule="auto"/>
        <w:ind w:firstLine="284"/>
        <w:jc w:val="both"/>
        <w:rPr>
          <w:rFonts w:ascii="Times New Roman" w:hAnsi="Times New Roman"/>
          <w:sz w:val="28"/>
          <w:szCs w:val="28"/>
          <w:lang w:val="uk-UA"/>
        </w:rPr>
      </w:pPr>
      <w:r>
        <w:rPr>
          <w:rFonts w:ascii="Times New Roman" w:hAnsi="Times New Roman"/>
          <w:sz w:val="28"/>
          <w:szCs w:val="28"/>
          <w:lang w:val="uk-UA"/>
        </w:rPr>
        <w:t xml:space="preserve">Daily use of ademol for 96 h after hemorrhage in the brain, </w:t>
      </w:r>
      <w:r>
        <w:rPr>
          <w:rFonts w:ascii="Times New Roman" w:hAnsi="Times New Roman"/>
          <w:iCs/>
          <w:sz w:val="28"/>
          <w:szCs w:val="28"/>
          <w:lang w:val="en-US"/>
        </w:rPr>
        <w:t>amortized</w:t>
      </w:r>
      <w:r>
        <w:rPr>
          <w:rFonts w:ascii="Times New Roman" w:hAnsi="Times New Roman"/>
          <w:sz w:val="28"/>
          <w:szCs w:val="28"/>
          <w:lang w:val="uk-UA"/>
        </w:rPr>
        <w:t xml:space="preserve"> the drop in cerebral perfusion, stabilizing its level on the coefficients of microcirculation in the cortex, which were higher than similar in the control group on average by 3.99 (intracerebral hematoma) and 7.3 </w:t>
      </w:r>
      <w:r>
        <w:rPr>
          <w:rFonts w:ascii="Times New Roman" w:hAnsi="Times New Roman"/>
          <w:sz w:val="28"/>
          <w:szCs w:val="28"/>
          <w:lang w:val="en-US"/>
        </w:rPr>
        <w:t>(</w:t>
      </w:r>
      <w:r>
        <w:rPr>
          <w:rFonts w:ascii="Times New Roman" w:hAnsi="Times New Roman"/>
          <w:sz w:val="28"/>
          <w:szCs w:val="28"/>
          <w:lang w:val="uk-UA"/>
        </w:rPr>
        <w:t>subarachnoid hemorrhages) times</w:t>
      </w:r>
      <w:r>
        <w:rPr>
          <w:rFonts w:ascii="Times New Roman" w:hAnsi="Times New Roman"/>
          <w:sz w:val="28"/>
          <w:szCs w:val="28"/>
          <w:lang w:val="en-US"/>
        </w:rPr>
        <w:t>.</w:t>
      </w:r>
      <w:r>
        <w:rPr>
          <w:rFonts w:ascii="Times New Roman" w:hAnsi="Times New Roman"/>
          <w:sz w:val="28"/>
          <w:szCs w:val="28"/>
          <w:lang w:val="uk-UA"/>
        </w:rPr>
        <w:t xml:space="preserve"> </w:t>
      </w:r>
      <w:r>
        <w:rPr>
          <w:rFonts w:ascii="Times New Roman" w:hAnsi="Times New Roman"/>
          <w:sz w:val="28"/>
          <w:szCs w:val="28"/>
          <w:lang w:val="en-US"/>
        </w:rPr>
        <w:t xml:space="preserve">That </w:t>
      </w:r>
      <w:r>
        <w:rPr>
          <w:rFonts w:ascii="Times New Roman" w:hAnsi="Times New Roman"/>
          <w:sz w:val="28"/>
          <w:szCs w:val="28"/>
          <w:lang w:val="uk-UA"/>
        </w:rPr>
        <w:t>occurred against the background of escalation of the values ​​of the cerebral blood flow volume rate in the central cerebral artery relative to the control on average by 68.4, p &lt;0.05. In contrast to the reference nimodipine, in the case of pre-administration of the adamantane derivative, the values ​​of central hemodynamics, which were verified by blood pressure, left atrial pressure, and blood oxygen saturation did not differ significantly from baseline</w:t>
      </w:r>
      <w:r>
        <w:rPr>
          <w:rFonts w:ascii="Times New Roman" w:hAnsi="Times New Roman"/>
          <w:sz w:val="28"/>
          <w:szCs w:val="28"/>
          <w:lang w:val="en-US"/>
        </w:rPr>
        <w:t xml:space="preserve">. </w:t>
      </w:r>
      <w:r>
        <w:rPr>
          <w:rFonts w:ascii="Times New Roman" w:hAnsi="Times New Roman"/>
          <w:iCs/>
          <w:sz w:val="28"/>
          <w:szCs w:val="28"/>
          <w:lang w:val="en-US"/>
        </w:rPr>
        <w:t>For the degree of de-escalation of the level of intracranial pressure ademol exceeded the efficiency of amantadine and magnesium sulfate on average</w:t>
      </w:r>
      <w:r>
        <w:rPr>
          <w:rFonts w:ascii="Times New Roman" w:hAnsi="Times New Roman"/>
          <w:iCs/>
          <w:sz w:val="28"/>
          <w:szCs w:val="28"/>
          <w:lang w:val="uk-UA"/>
        </w:rPr>
        <w:t xml:space="preserve"> </w:t>
      </w:r>
      <w:r>
        <w:rPr>
          <w:rFonts w:ascii="Times New Roman" w:hAnsi="Times New Roman"/>
          <w:iCs/>
          <w:sz w:val="28"/>
          <w:szCs w:val="28"/>
          <w:lang w:val="en-US"/>
        </w:rPr>
        <w:t>1.85 times, p &lt;0.05.</w:t>
      </w:r>
    </w:p>
    <w:p w:rsidR="00086D89" w:rsidRDefault="00086D89" w:rsidP="00086D89">
      <w:pPr>
        <w:spacing w:line="360" w:lineRule="auto"/>
        <w:ind w:firstLine="284"/>
        <w:jc w:val="both"/>
        <w:rPr>
          <w:rFonts w:ascii="Times New Roman" w:hAnsi="Times New Roman"/>
          <w:sz w:val="28"/>
          <w:szCs w:val="28"/>
          <w:lang w:val="uk-UA"/>
        </w:rPr>
      </w:pPr>
      <w:r>
        <w:rPr>
          <w:rFonts w:ascii="Times New Roman" w:hAnsi="Times New Roman"/>
          <w:sz w:val="28"/>
          <w:szCs w:val="28"/>
          <w:lang w:val="uk-UA"/>
        </w:rPr>
        <w:t xml:space="preserve">According to the degree of neurodestructive and neurodegenerative changes in intracranial hemorrhage, which were identified by the activity of neuron-specific enolase (NSE), ademol probably </w:t>
      </w:r>
      <w:r>
        <w:rPr>
          <w:rFonts w:ascii="Times New Roman" w:hAnsi="Times New Roman"/>
          <w:iCs/>
          <w:sz w:val="28"/>
          <w:szCs w:val="28"/>
          <w:lang w:val="en-US"/>
        </w:rPr>
        <w:t>exceeded</w:t>
      </w:r>
      <w:r>
        <w:rPr>
          <w:rFonts w:ascii="Times New Roman" w:hAnsi="Times New Roman"/>
          <w:sz w:val="28"/>
          <w:szCs w:val="28"/>
          <w:lang w:val="uk-UA"/>
        </w:rPr>
        <w:t xml:space="preserve"> the effectiveness of nimodipine, amantadine, and magnesium sulfate by an average of 1.57, 1.49, and 2.04</w:t>
      </w:r>
      <w:r>
        <w:rPr>
          <w:rFonts w:ascii="Times New Roman" w:hAnsi="Times New Roman"/>
          <w:iCs/>
          <w:sz w:val="28"/>
          <w:szCs w:val="28"/>
          <w:lang w:val="en-US"/>
        </w:rPr>
        <w:t xml:space="preserve"> times</w:t>
      </w:r>
      <w:r>
        <w:rPr>
          <w:rFonts w:ascii="Times New Roman" w:hAnsi="Times New Roman"/>
          <w:sz w:val="28"/>
          <w:szCs w:val="28"/>
          <w:lang w:val="uk-UA"/>
        </w:rPr>
        <w:t xml:space="preserve">. This process was associated with regression of the apoptotic and proliferative phenomenon detected by the degree of deoxyribonucleic acid (DNA) fragmentation of neuronal nuclei, the level of S100 protein (S100), and the activation of the synthetic phase of the cell cycle, </w:t>
      </w:r>
      <w:r>
        <w:rPr>
          <w:rFonts w:ascii="Times New Roman" w:hAnsi="Times New Roman"/>
          <w:sz w:val="28"/>
          <w:szCs w:val="28"/>
          <w:lang w:val="en-US"/>
        </w:rPr>
        <w:t xml:space="preserve">exceeding </w:t>
      </w:r>
      <w:r>
        <w:rPr>
          <w:rFonts w:ascii="Times New Roman" w:hAnsi="Times New Roman"/>
          <w:sz w:val="28"/>
          <w:szCs w:val="28"/>
          <w:lang w:val="uk-UA"/>
        </w:rPr>
        <w:t>nimodipine</w:t>
      </w:r>
      <w:r>
        <w:rPr>
          <w:rFonts w:ascii="Times New Roman" w:hAnsi="Times New Roman"/>
          <w:sz w:val="28"/>
          <w:szCs w:val="28"/>
          <w:lang w:val="en-US"/>
        </w:rPr>
        <w:t xml:space="preserve"> </w:t>
      </w:r>
      <w:r>
        <w:rPr>
          <w:rFonts w:ascii="Times New Roman" w:hAnsi="Times New Roman"/>
          <w:sz w:val="28"/>
          <w:szCs w:val="28"/>
          <w:lang w:val="uk-UA"/>
        </w:rPr>
        <w:t xml:space="preserve">on average </w:t>
      </w:r>
      <w:r>
        <w:rPr>
          <w:rFonts w:ascii="Times New Roman" w:hAnsi="Times New Roman"/>
          <w:sz w:val="28"/>
          <w:szCs w:val="28"/>
          <w:lang w:val="en-US"/>
        </w:rPr>
        <w:t xml:space="preserve">by </w:t>
      </w:r>
      <w:r>
        <w:rPr>
          <w:rFonts w:ascii="Times New Roman" w:hAnsi="Times New Roman"/>
          <w:sz w:val="28"/>
          <w:szCs w:val="28"/>
          <w:lang w:val="uk-UA"/>
        </w:rPr>
        <w:t>13.0%</w:t>
      </w:r>
      <w:r>
        <w:rPr>
          <w:rFonts w:ascii="Times New Roman" w:hAnsi="Times New Roman"/>
          <w:sz w:val="28"/>
          <w:szCs w:val="28"/>
          <w:lang w:val="en-US"/>
        </w:rPr>
        <w:t>,</w:t>
      </w:r>
      <w:r>
        <w:rPr>
          <w:rFonts w:ascii="Times New Roman" w:hAnsi="Times New Roman"/>
          <w:sz w:val="28"/>
          <w:szCs w:val="28"/>
          <w:lang w:val="uk-UA"/>
        </w:rPr>
        <w:t xml:space="preserve"> and 1.35 and 1.68 times (neuron proliferation by S100 titers and cytometric index), p</w:t>
      </w:r>
      <w:r>
        <w:rPr>
          <w:rFonts w:ascii="Times New Roman" w:hAnsi="Times New Roman"/>
          <w:sz w:val="28"/>
          <w:szCs w:val="28"/>
          <w:lang w:val="en-US"/>
        </w:rPr>
        <w:t> </w:t>
      </w:r>
      <w:r>
        <w:rPr>
          <w:rFonts w:ascii="Times New Roman" w:hAnsi="Times New Roman"/>
          <w:sz w:val="28"/>
          <w:szCs w:val="28"/>
          <w:lang w:val="uk-UA"/>
        </w:rPr>
        <w:t>&lt;0.05.</w:t>
      </w:r>
    </w:p>
    <w:p w:rsidR="00086D89" w:rsidRDefault="00086D89" w:rsidP="00086D89">
      <w:pPr>
        <w:spacing w:line="360" w:lineRule="auto"/>
        <w:ind w:firstLine="284"/>
        <w:jc w:val="both"/>
        <w:rPr>
          <w:rFonts w:ascii="Times New Roman" w:hAnsi="Times New Roman"/>
          <w:sz w:val="28"/>
          <w:szCs w:val="28"/>
          <w:lang w:val="uk-UA"/>
        </w:rPr>
      </w:pPr>
      <w:r>
        <w:rPr>
          <w:rFonts w:ascii="Times New Roman" w:hAnsi="Times New Roman"/>
          <w:sz w:val="28"/>
          <w:szCs w:val="28"/>
          <w:lang w:val="uk-UA"/>
        </w:rPr>
        <w:t xml:space="preserve">When assessing the scale of morpho-degenerative phenomena occurring in the brain by </w:t>
      </w:r>
      <w:r>
        <w:rPr>
          <w:rFonts w:ascii="Times New Roman" w:hAnsi="Times New Roman"/>
          <w:sz w:val="28"/>
          <w:szCs w:val="28"/>
          <w:lang w:val="en-US"/>
        </w:rPr>
        <w:t>HI</w:t>
      </w:r>
      <w:r>
        <w:rPr>
          <w:rFonts w:ascii="Times New Roman" w:hAnsi="Times New Roman"/>
          <w:sz w:val="28"/>
          <w:szCs w:val="28"/>
          <w:lang w:val="uk-UA"/>
        </w:rPr>
        <w:t xml:space="preserve"> on the background of cerebroprotective therapy, which was performed using light </w:t>
      </w:r>
      <w:r>
        <w:rPr>
          <w:rFonts w:ascii="Times New Roman" w:hAnsi="Times New Roman"/>
          <w:sz w:val="28"/>
          <w:szCs w:val="28"/>
          <w:lang w:val="uk-UA"/>
        </w:rPr>
        <w:lastRenderedPageBreak/>
        <w:t>microscopy, it was shown that histopathological changes in the treatment of cerebral ischemia of hemorrhagic genesis by ademol were moderate with preservation of structural tissue</w:t>
      </w:r>
      <w:r>
        <w:rPr>
          <w:rFonts w:ascii="Times New Roman" w:hAnsi="Times New Roman"/>
          <w:sz w:val="28"/>
          <w:szCs w:val="28"/>
          <w:lang w:val="en-US"/>
        </w:rPr>
        <w:t>,</w:t>
      </w:r>
      <w:r>
        <w:rPr>
          <w:rFonts w:ascii="Times New Roman" w:hAnsi="Times New Roman"/>
          <w:sz w:val="28"/>
          <w:szCs w:val="28"/>
          <w:lang w:val="uk-UA"/>
        </w:rPr>
        <w:t xml:space="preserve"> cerebral cortex, hippocampus and elements of the microcirculatory tract</w:t>
      </w:r>
      <w:r>
        <w:rPr>
          <w:rFonts w:ascii="Times New Roman" w:hAnsi="Times New Roman"/>
          <w:sz w:val="28"/>
          <w:szCs w:val="28"/>
          <w:lang w:val="en-US"/>
        </w:rPr>
        <w:t xml:space="preserve">. According to </w:t>
      </w:r>
      <w:r>
        <w:rPr>
          <w:rFonts w:ascii="Times New Roman" w:hAnsi="Times New Roman"/>
          <w:sz w:val="28"/>
          <w:szCs w:val="28"/>
          <w:lang w:val="uk-UA"/>
        </w:rPr>
        <w:t>the main descriptive evaluation criteria (presence/absence: nucleus, nucleolus, processes of neurons and other structural cell objects, perivasal and around cell edema, diapedesis of blood cells, cytolysis, signs of neuron destruction of the wall),</w:t>
      </w:r>
      <w:r>
        <w:rPr>
          <w:rFonts w:ascii="Times New Roman" w:hAnsi="Times New Roman"/>
          <w:sz w:val="28"/>
          <w:szCs w:val="28"/>
          <w:lang w:val="en-US"/>
        </w:rPr>
        <w:t xml:space="preserve"> t</w:t>
      </w:r>
      <w:r>
        <w:rPr>
          <w:rFonts w:ascii="Times New Roman" w:hAnsi="Times New Roman"/>
          <w:sz w:val="28"/>
          <w:szCs w:val="28"/>
          <w:lang w:val="uk-UA"/>
        </w:rPr>
        <w:t xml:space="preserve">he panoramic view of the object had a view that approached that of </w:t>
      </w:r>
      <w:r>
        <w:rPr>
          <w:rFonts w:ascii="Times New Roman" w:hAnsi="Times New Roman"/>
          <w:sz w:val="28"/>
          <w:szCs w:val="28"/>
          <w:lang w:val="en-US"/>
        </w:rPr>
        <w:t>sham-</w:t>
      </w:r>
      <w:r>
        <w:rPr>
          <w:rFonts w:ascii="Times New Roman" w:hAnsi="Times New Roman"/>
          <w:sz w:val="28"/>
          <w:szCs w:val="28"/>
          <w:lang w:val="uk-UA"/>
        </w:rPr>
        <w:t>operated rats, which corresponded to the facts obtained by enzyme-linked immunosorbent assay of neuro specific enzymes.</w:t>
      </w:r>
    </w:p>
    <w:p w:rsidR="00086D89" w:rsidRDefault="00086D89" w:rsidP="00086D89">
      <w:pPr>
        <w:spacing w:line="360" w:lineRule="auto"/>
        <w:ind w:firstLine="284"/>
        <w:jc w:val="both"/>
        <w:rPr>
          <w:rFonts w:ascii="Times New Roman" w:hAnsi="Times New Roman"/>
          <w:sz w:val="28"/>
          <w:szCs w:val="28"/>
          <w:lang w:val="en-US"/>
        </w:rPr>
      </w:pPr>
      <w:r>
        <w:rPr>
          <w:rFonts w:ascii="Times New Roman" w:hAnsi="Times New Roman"/>
          <w:sz w:val="28"/>
          <w:szCs w:val="28"/>
          <w:lang w:val="en-US"/>
        </w:rPr>
        <w:t xml:space="preserve">The </w:t>
      </w:r>
      <w:r>
        <w:rPr>
          <w:rFonts w:ascii="Times New Roman" w:hAnsi="Times New Roman"/>
          <w:sz w:val="28"/>
          <w:szCs w:val="28"/>
          <w:lang w:val="uk-UA"/>
        </w:rPr>
        <w:t xml:space="preserve">ability to reduce the formation of glutamate and steroid excitotoxicity has been registered </w:t>
      </w:r>
      <w:r>
        <w:rPr>
          <w:rFonts w:ascii="Times New Roman" w:hAnsi="Times New Roman"/>
          <w:sz w:val="28"/>
          <w:szCs w:val="28"/>
          <w:lang w:val="en-US"/>
        </w:rPr>
        <w:t>a</w:t>
      </w:r>
      <w:r>
        <w:rPr>
          <w:rFonts w:ascii="Times New Roman" w:hAnsi="Times New Roman"/>
          <w:sz w:val="28"/>
          <w:szCs w:val="28"/>
          <w:lang w:val="uk-UA"/>
        </w:rPr>
        <w:t>mong the pathobiochemical components of the neuroprotective action of ademol in hemorrhagic brain damage</w:t>
      </w:r>
      <w:r>
        <w:rPr>
          <w:rFonts w:ascii="Times New Roman" w:hAnsi="Times New Roman"/>
          <w:sz w:val="28"/>
          <w:szCs w:val="28"/>
          <w:lang w:val="en-US"/>
        </w:rPr>
        <w:t>.</w:t>
      </w:r>
      <w:r>
        <w:rPr>
          <w:rFonts w:ascii="Times New Roman" w:hAnsi="Times New Roman"/>
          <w:sz w:val="28"/>
          <w:szCs w:val="28"/>
          <w:lang w:val="uk-UA"/>
        </w:rPr>
        <w:t xml:space="preserve"> In the group of animals treated with ademol, the level of glutamate in the brain of rats with intracerebral hemorrhage was 16.3 ± 0.32 nmol/mg </w:t>
      </w:r>
      <w:r>
        <w:rPr>
          <w:rFonts w:ascii="Times New Roman" w:hAnsi="Times New Roman"/>
          <w:sz w:val="28"/>
          <w:szCs w:val="28"/>
          <w:lang w:val="en-US"/>
        </w:rPr>
        <w:t xml:space="preserve">of </w:t>
      </w:r>
      <w:r>
        <w:rPr>
          <w:rFonts w:ascii="Times New Roman" w:hAnsi="Times New Roman"/>
          <w:sz w:val="28"/>
          <w:szCs w:val="28"/>
          <w:lang w:val="uk-UA"/>
        </w:rPr>
        <w:t xml:space="preserve">protein, which is 1.93 times less than in animals of control pathology. Against the background of nimodipine, the antiexitotic effect was slightly higher than that of ademol (glutamate level was 14.75 ± 0.27 nmol/mg protein), but the differences between nimodipine and ademol did not reach statistically significant values. Amantadine and magnesium sulfate were less likely to prevent an increase </w:t>
      </w:r>
      <w:r>
        <w:rPr>
          <w:rFonts w:ascii="Times New Roman" w:hAnsi="Times New Roman"/>
          <w:sz w:val="28"/>
          <w:szCs w:val="28"/>
          <w:lang w:val="en-US"/>
        </w:rPr>
        <w:t>of</w:t>
      </w:r>
      <w:r>
        <w:rPr>
          <w:rFonts w:ascii="Times New Roman" w:hAnsi="Times New Roman"/>
          <w:sz w:val="28"/>
          <w:szCs w:val="28"/>
          <w:lang w:val="uk-UA"/>
        </w:rPr>
        <w:t xml:space="preserve"> glutamate in the brains of I</w:t>
      </w:r>
      <w:r>
        <w:rPr>
          <w:rFonts w:ascii="Times New Roman" w:hAnsi="Times New Roman"/>
          <w:sz w:val="28"/>
          <w:szCs w:val="28"/>
          <w:lang w:val="en-US"/>
        </w:rPr>
        <w:t>CH</w:t>
      </w:r>
      <w:r>
        <w:rPr>
          <w:rFonts w:ascii="Times New Roman" w:hAnsi="Times New Roman"/>
          <w:sz w:val="28"/>
          <w:szCs w:val="28"/>
          <w:lang w:val="uk-UA"/>
        </w:rPr>
        <w:t xml:space="preserve"> rats: 17.7 ± 0.39 and 22.0 ± 0.42 nmol/mg protein, respectively. Ademol at a dose of 2 mg/kg iv and nimodipine and amantadine sulfate were comparable in terms of antiex</w:t>
      </w:r>
      <w:r>
        <w:rPr>
          <w:rFonts w:ascii="Times New Roman" w:hAnsi="Times New Roman"/>
          <w:sz w:val="28"/>
          <w:szCs w:val="28"/>
          <w:lang w:val="en-US"/>
        </w:rPr>
        <w:t>ci</w:t>
      </w:r>
      <w:r>
        <w:rPr>
          <w:rFonts w:ascii="Times New Roman" w:hAnsi="Times New Roman"/>
          <w:sz w:val="28"/>
          <w:szCs w:val="28"/>
          <w:lang w:val="uk-UA"/>
        </w:rPr>
        <w:t>totoxic effect in I</w:t>
      </w:r>
      <w:r>
        <w:rPr>
          <w:rFonts w:ascii="Times New Roman" w:hAnsi="Times New Roman"/>
          <w:sz w:val="28"/>
          <w:szCs w:val="28"/>
          <w:lang w:val="en-US"/>
        </w:rPr>
        <w:t>CH</w:t>
      </w:r>
      <w:r>
        <w:rPr>
          <w:rFonts w:ascii="Times New Roman" w:hAnsi="Times New Roman"/>
          <w:sz w:val="28"/>
          <w:szCs w:val="28"/>
          <w:lang w:val="uk-UA"/>
        </w:rPr>
        <w:t xml:space="preserve">, and magnesium sulfate was statistically (p &lt;0.05) inferior to </w:t>
      </w:r>
      <w:r>
        <w:rPr>
          <w:rFonts w:ascii="Times New Roman" w:hAnsi="Times New Roman"/>
          <w:sz w:val="28"/>
          <w:szCs w:val="28"/>
          <w:lang w:val="en-US"/>
        </w:rPr>
        <w:t>them.</w:t>
      </w:r>
    </w:p>
    <w:p w:rsidR="00086D89" w:rsidRDefault="00086D89" w:rsidP="00086D89">
      <w:pPr>
        <w:spacing w:line="360" w:lineRule="auto"/>
        <w:ind w:firstLine="284"/>
        <w:jc w:val="both"/>
        <w:rPr>
          <w:rFonts w:ascii="Times New Roman" w:hAnsi="Times New Roman"/>
          <w:sz w:val="28"/>
          <w:szCs w:val="28"/>
          <w:lang w:val="en-US"/>
        </w:rPr>
      </w:pPr>
      <w:r>
        <w:rPr>
          <w:rFonts w:ascii="Times New Roman" w:hAnsi="Times New Roman"/>
          <w:sz w:val="28"/>
          <w:szCs w:val="28"/>
          <w:lang w:val="en-US"/>
        </w:rPr>
        <w:t xml:space="preserve">Therapeutic course infusion of ademol at a conditionally effective dose of 2 mg/kg iv in rats with ICH, significantly better than the rest of the references, predicted the increase of glucocorticoid neurotoxicity, which was manifested in a moderate increase of cortisol levels in sham-operated animals. At the same time, against the background of drugs-comparison, the increase in cortisol was much higher (at times). Thus, at the end of the experimental therapy of stroke with ademol, the content of the studied hormone in the serum of the sagittal sinus decreased relative to the control pathology group by an average of 3.22 times (p &lt;0.05). This pharmacodynamic effect of ademol indicates that it has a positive modulating effect on the formation of steroid neurotoxicity. At the same time, in </w:t>
      </w:r>
      <w:r>
        <w:rPr>
          <w:rFonts w:ascii="Times New Roman" w:hAnsi="Times New Roman"/>
          <w:sz w:val="28"/>
          <w:szCs w:val="28"/>
          <w:lang w:val="en-US"/>
        </w:rPr>
        <w:lastRenderedPageBreak/>
        <w:t>the conditions of ICH, infusion of ademol on the ability to reduce the content of the studied hormone, probably outperformed nimodipine by an average of 1.51 times, and amantadine and magnesium sulfate, respectively, 1.97 and 2.63 times.</w:t>
      </w:r>
    </w:p>
    <w:p w:rsidR="00086D89" w:rsidRDefault="00086D89" w:rsidP="00086D89">
      <w:pPr>
        <w:spacing w:line="360" w:lineRule="auto"/>
        <w:ind w:firstLine="284"/>
        <w:jc w:val="both"/>
        <w:rPr>
          <w:rFonts w:ascii="Times New Roman" w:hAnsi="Times New Roman"/>
          <w:sz w:val="28"/>
          <w:szCs w:val="28"/>
          <w:lang w:val="en-US"/>
        </w:rPr>
      </w:pPr>
      <w:r>
        <w:rPr>
          <w:rFonts w:ascii="Times New Roman" w:hAnsi="Times New Roman"/>
          <w:sz w:val="28"/>
          <w:szCs w:val="28"/>
          <w:lang w:val="en-US"/>
        </w:rPr>
        <w:t>The mechanisms of cerebroprotective activity of ademol in intracranial hemorrhage, in addition to the ability of the drug to improve cerebral blood flow, reduce elevated intracranial pressure, reduce the phenomenon of neurocytolysis, apoptosis, proliferation, glutamate and steroid neurotoxicity, may include</w:t>
      </w:r>
      <w:r>
        <w:rPr>
          <w:rFonts w:ascii="Times New Roman" w:hAnsi="Times New Roman"/>
          <w:sz w:val="28"/>
          <w:szCs w:val="28"/>
          <w:lang w:val="uk-UA"/>
        </w:rPr>
        <w:t xml:space="preserve"> </w:t>
      </w:r>
      <w:r>
        <w:rPr>
          <w:rFonts w:ascii="Times New Roman" w:hAnsi="Times New Roman"/>
          <w:sz w:val="28"/>
          <w:szCs w:val="28"/>
          <w:lang w:val="en-US"/>
        </w:rPr>
        <w:t>the</w:t>
      </w:r>
      <w:r>
        <w:rPr>
          <w:rFonts w:ascii="Times New Roman" w:hAnsi="Times New Roman"/>
          <w:lang w:val="en-US"/>
        </w:rPr>
        <w:t xml:space="preserve"> </w:t>
      </w:r>
      <w:r>
        <w:rPr>
          <w:rFonts w:ascii="Times New Roman" w:hAnsi="Times New Roman"/>
          <w:sz w:val="28"/>
          <w:szCs w:val="28"/>
          <w:lang w:val="en-US"/>
        </w:rPr>
        <w:t>ability (on the example of an acute period of subarachnoid hemorrhage) to eliminate energy deficiency of the brain (increase in the content of adenosine triphosphate (ATP) in the brain), to improve the energy charge relative to the samples of control pathology by an average of 45.1, 42.9 and 22.0%, respectively, p &lt;0.05); to reduce lactic acidosis (decrease in lactate content by 31.9%, p &lt;0.05), to affect oxidative stress (decrease in the level of malonic dialdehyde (MDA) and carbonyl groups of proteins (CGP) by an average of 30.5 and 18.8 %, against the background of increasing activity of superoxide dismutase (SOD), glutathione peroxidase (GPO) and catalase, respectively, 42.1, 25.2 and 37.6%, p &lt;0.05), to modulate the metabolism of nitric oxide (increase in NO synthase activity in parallel increase in the content of the donor NO L-arginine on average by 14.0 and 44.0%, respectively, p &lt;0,05). In terms of these properties, ademol significantly exceeded the beforementioned effects of nimodipine, amantadine, and magnesium sulfate.</w:t>
      </w:r>
    </w:p>
    <w:p w:rsidR="00086D89" w:rsidRDefault="00086D89" w:rsidP="00086D89">
      <w:pPr>
        <w:spacing w:line="360" w:lineRule="auto"/>
        <w:ind w:firstLine="284"/>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xml:space="preserve"> ademol, NMDA receptors, intracranial hemorrhage, subarachnoid, intracerebral hemorrhage, cerebroprotection, nimodipine, amantadine sulfate, magnesium sulfate.</w:t>
      </w:r>
    </w:p>
    <w:p w:rsidR="00086D89" w:rsidRDefault="00086D89" w:rsidP="00086D89">
      <w:pPr>
        <w:widowControl w:val="0"/>
        <w:spacing w:after="0" w:line="360" w:lineRule="auto"/>
        <w:ind w:firstLine="284"/>
        <w:jc w:val="both"/>
        <w:rPr>
          <w:rFonts w:ascii="Times New Roman" w:hAnsi="Times New Roman"/>
          <w:lang w:val="en-US"/>
        </w:rPr>
      </w:pPr>
    </w:p>
    <w:p w:rsidR="00086D89" w:rsidRPr="00086D89" w:rsidRDefault="00086D89" w:rsidP="00B065B6">
      <w:pPr>
        <w:spacing w:line="360" w:lineRule="auto"/>
        <w:ind w:firstLine="284"/>
        <w:contextualSpacing/>
        <w:jc w:val="center"/>
        <w:rPr>
          <w:rFonts w:ascii="Times New Roman" w:hAnsi="Times New Roman"/>
          <w:b/>
          <w:bCs/>
          <w:sz w:val="28"/>
          <w:szCs w:val="28"/>
          <w:lang w:val="en-US"/>
        </w:rPr>
      </w:pPr>
    </w:p>
    <w:p w:rsidR="00012F54" w:rsidRPr="00012F54" w:rsidRDefault="00012F54" w:rsidP="00B065B6">
      <w:pPr>
        <w:widowControl w:val="0"/>
        <w:spacing w:after="0" w:line="360" w:lineRule="auto"/>
        <w:ind w:firstLine="284"/>
        <w:jc w:val="both"/>
        <w:rPr>
          <w:rFonts w:ascii="Times New Roman" w:hAnsi="Times New Roman"/>
          <w:lang w:val="en-US"/>
        </w:rPr>
      </w:pPr>
    </w:p>
    <w:p w:rsidR="00012F54" w:rsidRPr="00012F54" w:rsidRDefault="00012F54" w:rsidP="00B065B6">
      <w:pPr>
        <w:spacing w:after="160" w:line="259" w:lineRule="auto"/>
        <w:ind w:firstLine="284"/>
        <w:rPr>
          <w:rFonts w:ascii="Times New Roman" w:hAnsi="Times New Roman"/>
          <w:b/>
          <w:sz w:val="28"/>
          <w:szCs w:val="28"/>
          <w:shd w:val="clear" w:color="auto" w:fill="FFFFFF"/>
          <w:lang w:val="en-US" w:eastAsia="ar-SA"/>
        </w:rPr>
      </w:pPr>
      <w:r w:rsidRPr="00012F54">
        <w:rPr>
          <w:rFonts w:ascii="Times New Roman" w:hAnsi="Times New Roman"/>
          <w:b/>
          <w:sz w:val="28"/>
          <w:szCs w:val="28"/>
          <w:shd w:val="clear" w:color="auto" w:fill="FFFFFF"/>
          <w:lang w:val="en-US" w:eastAsia="ar-SA"/>
        </w:rPr>
        <w:br w:type="page"/>
      </w:r>
    </w:p>
    <w:p w:rsidR="00012F54" w:rsidRPr="00012F54" w:rsidRDefault="00012F54" w:rsidP="00B065B6">
      <w:pPr>
        <w:pStyle w:val="a6"/>
        <w:widowControl w:val="0"/>
        <w:spacing w:after="0" w:line="360" w:lineRule="auto"/>
        <w:ind w:left="0" w:firstLine="284"/>
        <w:jc w:val="center"/>
        <w:rPr>
          <w:rFonts w:ascii="Times New Roman" w:hAnsi="Times New Roman"/>
          <w:b/>
          <w:sz w:val="28"/>
          <w:szCs w:val="28"/>
          <w:shd w:val="clear" w:color="auto" w:fill="FFFFFF"/>
          <w:lang w:val="uk-UA" w:eastAsia="ar-SA"/>
        </w:rPr>
      </w:pPr>
      <w:r w:rsidRPr="00012F54">
        <w:rPr>
          <w:rFonts w:ascii="Times New Roman" w:hAnsi="Times New Roman"/>
          <w:b/>
          <w:sz w:val="28"/>
          <w:szCs w:val="28"/>
          <w:shd w:val="clear" w:color="auto" w:fill="FFFFFF"/>
          <w:lang w:eastAsia="ar-SA"/>
        </w:rPr>
        <w:lastRenderedPageBreak/>
        <w:t xml:space="preserve">СПИСОК </w:t>
      </w:r>
      <w:r w:rsidRPr="00012F54">
        <w:rPr>
          <w:rFonts w:ascii="Times New Roman" w:hAnsi="Times New Roman"/>
          <w:b/>
          <w:sz w:val="28"/>
          <w:szCs w:val="28"/>
          <w:shd w:val="clear" w:color="auto" w:fill="FFFFFF"/>
          <w:lang w:val="uk-UA" w:eastAsia="ar-SA"/>
        </w:rPr>
        <w:t>ПРАЦЬ, ОПУБЛІКОВАНИХ ЗА ТЕМОЮ ДИСЕРТАЦІЇ</w:t>
      </w:r>
    </w:p>
    <w:p w:rsidR="00012F54" w:rsidRPr="00012F54" w:rsidRDefault="00012F54" w:rsidP="00B065B6">
      <w:pPr>
        <w:suppressAutoHyphens/>
        <w:spacing w:after="0" w:line="360" w:lineRule="auto"/>
        <w:ind w:firstLine="284"/>
        <w:jc w:val="center"/>
        <w:rPr>
          <w:rFonts w:ascii="Times New Roman" w:hAnsi="Times New Roman"/>
          <w:b/>
          <w:sz w:val="28"/>
          <w:szCs w:val="28"/>
          <w:shd w:val="clear" w:color="auto" w:fill="FFFFFF"/>
          <w:lang w:eastAsia="ar-SA"/>
        </w:rPr>
      </w:pPr>
    </w:p>
    <w:p w:rsidR="00012F54" w:rsidRPr="00012F54" w:rsidRDefault="00012F54" w:rsidP="00B065B6">
      <w:pPr>
        <w:pStyle w:val="a8"/>
        <w:numPr>
          <w:ilvl w:val="0"/>
          <w:numId w:val="1"/>
        </w:numPr>
        <w:tabs>
          <w:tab w:val="left" w:pos="567"/>
          <w:tab w:val="left" w:pos="851"/>
        </w:tabs>
        <w:spacing w:before="0" w:beforeAutospacing="0" w:after="0" w:afterAutospacing="0" w:line="360" w:lineRule="auto"/>
        <w:ind w:left="0" w:firstLine="284"/>
        <w:jc w:val="both"/>
        <w:rPr>
          <w:sz w:val="28"/>
          <w:szCs w:val="28"/>
        </w:rPr>
      </w:pPr>
      <w:r w:rsidRPr="00012F54">
        <w:rPr>
          <w:rFonts w:eastAsiaTheme="minorHAnsi"/>
          <w:sz w:val="28"/>
          <w:szCs w:val="28"/>
          <w:lang w:eastAsia="en-US"/>
        </w:rPr>
        <w:t>Жабоєдова Н. В., Загорій Г. В., Ходаківський О. А. Скринінг церебропротекторних властивостей промислового зразка ампульного розчину 1-адамантилетилокси-3-морфоліно-2-пропанолу гідрохлориду ("Адемол") на моделях гострого порушення мозкового кровообігу за геморагічним типом. Вісник морфології. 2016. Т. 22, № 1. С. 71</w:t>
      </w:r>
      <w:r w:rsidRPr="00012F54">
        <w:rPr>
          <w:bCs/>
          <w:sz w:val="28"/>
          <w:szCs w:val="28"/>
        </w:rPr>
        <w:t>–</w:t>
      </w:r>
      <w:r w:rsidRPr="00012F54">
        <w:rPr>
          <w:rFonts w:eastAsiaTheme="minorHAnsi"/>
          <w:sz w:val="28"/>
          <w:szCs w:val="28"/>
          <w:lang w:eastAsia="en-US"/>
        </w:rPr>
        <w:t>77.</w:t>
      </w:r>
      <w:r w:rsidR="00631F2E">
        <w:rPr>
          <w:i/>
          <w:color w:val="000000"/>
          <w:sz w:val="28"/>
          <w:szCs w:val="28"/>
        </w:rPr>
        <w:t xml:space="preserve"> (Особистий внесок</w:t>
      </w:r>
      <w:r w:rsidRPr="00012F54">
        <w:rPr>
          <w:i/>
          <w:color w:val="000000"/>
          <w:sz w:val="28"/>
          <w:szCs w:val="28"/>
        </w:rPr>
        <w:t>: пошук та аналіз літературних джерел, відтворенняя модельної патології, виконання запланованих скринінгових досліджень, статистична обробка отриманих даних, формування загального висновку, підготовка, оформлення та подача статті до друку).</w:t>
      </w:r>
    </w:p>
    <w:p w:rsidR="00012F54" w:rsidRPr="00012F54" w:rsidRDefault="00012F54" w:rsidP="00B065B6">
      <w:pPr>
        <w:pStyle w:val="a5"/>
        <w:numPr>
          <w:ilvl w:val="0"/>
          <w:numId w:val="1"/>
        </w:numPr>
        <w:shd w:val="clear" w:color="auto" w:fill="FFFFFF"/>
        <w:tabs>
          <w:tab w:val="left" w:pos="284"/>
          <w:tab w:val="left" w:pos="567"/>
          <w:tab w:val="left" w:pos="851"/>
        </w:tabs>
        <w:spacing w:after="0" w:line="360" w:lineRule="auto"/>
        <w:ind w:left="0" w:firstLine="284"/>
        <w:jc w:val="both"/>
        <w:rPr>
          <w:rFonts w:ascii="Times New Roman" w:hAnsi="Times New Roman"/>
          <w:i/>
          <w:sz w:val="28"/>
          <w:szCs w:val="28"/>
          <w:lang w:val="uk-UA"/>
        </w:rPr>
      </w:pPr>
      <w:r w:rsidRPr="00012F54">
        <w:rPr>
          <w:rFonts w:ascii="Times New Roman" w:eastAsiaTheme="minorHAnsi" w:hAnsi="Times New Roman"/>
          <w:sz w:val="28"/>
          <w:szCs w:val="28"/>
          <w:lang w:val="uk-UA" w:eastAsia="en-US"/>
        </w:rPr>
        <w:t>Порівняльна оцінка впливу адемолу та німодипіну на церебральну гемодинаміку в корі головного мозку за умов експериментального субарахноїдального крововиливу / О. А. Ходаківський та ін. Світ медицини та біології. 2016. Т. 57, № 3. С.150</w:t>
      </w:r>
      <w:r w:rsidRPr="00012F54">
        <w:rPr>
          <w:rFonts w:ascii="Times New Roman" w:hAnsi="Times New Roman"/>
          <w:bCs/>
          <w:sz w:val="28"/>
          <w:szCs w:val="28"/>
          <w:lang w:val="uk-UA"/>
        </w:rPr>
        <w:t>–</w:t>
      </w:r>
      <w:r w:rsidRPr="00012F54">
        <w:rPr>
          <w:rFonts w:ascii="Times New Roman" w:eastAsiaTheme="minorHAnsi" w:hAnsi="Times New Roman"/>
          <w:sz w:val="28"/>
          <w:szCs w:val="28"/>
          <w:lang w:val="uk-UA" w:eastAsia="en-US"/>
        </w:rPr>
        <w:t xml:space="preserve">153. </w:t>
      </w:r>
      <w:r w:rsidR="00365B5A">
        <w:rPr>
          <w:rFonts w:ascii="Times New Roman" w:hAnsi="Times New Roman"/>
          <w:i/>
          <w:color w:val="000000"/>
          <w:sz w:val="28"/>
          <w:szCs w:val="28"/>
          <w:lang w:val="uk-UA"/>
        </w:rPr>
        <w:t xml:space="preserve">(Особистий внесок: </w:t>
      </w:r>
      <w:r w:rsidRPr="00012F54">
        <w:rPr>
          <w:rFonts w:ascii="Times New Roman" w:hAnsi="Times New Roman"/>
          <w:i/>
          <w:color w:val="000000"/>
          <w:sz w:val="28"/>
          <w:szCs w:val="28"/>
          <w:lang w:val="uk-UA"/>
        </w:rPr>
        <w:t xml:space="preserve"> відтворення модельної патології, проведення доплерографічних досліджень, статистична обробка отриманих даних, формування загального висновку, підготовка та переклад резюме, оформлення і подача до друку статті).</w:t>
      </w:r>
    </w:p>
    <w:p w:rsidR="00012F54" w:rsidRPr="00012F54" w:rsidRDefault="00012F54" w:rsidP="00B065B6">
      <w:pPr>
        <w:pStyle w:val="a5"/>
        <w:numPr>
          <w:ilvl w:val="0"/>
          <w:numId w:val="1"/>
        </w:numPr>
        <w:shd w:val="clear" w:color="auto" w:fill="FFFFFF"/>
        <w:tabs>
          <w:tab w:val="left" w:pos="284"/>
          <w:tab w:val="left" w:pos="567"/>
          <w:tab w:val="left" w:pos="851"/>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 xml:space="preserve">Жабоєдова Н. В. Характеристика показників центральної гемодинаміки, внутрішньочерепного тиску та мікроциркуляції в капілярах кори головного мозку у щурів із різними підтипами геморагічного інсульту та тлі інфузії розчинів Адемолу або німодиіну. </w:t>
      </w:r>
      <w:r w:rsidRPr="00012F54">
        <w:rPr>
          <w:rFonts w:ascii="Times New Roman" w:hAnsi="Times New Roman"/>
          <w:iCs/>
          <w:sz w:val="28"/>
          <w:szCs w:val="28"/>
        </w:rPr>
        <w:t>Biomed</w:t>
      </w:r>
      <w:r w:rsidRPr="00012F54">
        <w:rPr>
          <w:rFonts w:ascii="Times New Roman" w:hAnsi="Times New Roman"/>
          <w:iCs/>
          <w:sz w:val="28"/>
          <w:szCs w:val="28"/>
          <w:lang w:val="en-US"/>
        </w:rPr>
        <w:t xml:space="preserve">icaland </w:t>
      </w:r>
      <w:r w:rsidRPr="00012F54">
        <w:rPr>
          <w:rFonts w:ascii="Times New Roman" w:hAnsi="Times New Roman"/>
          <w:iCs/>
          <w:sz w:val="28"/>
          <w:szCs w:val="28"/>
          <w:lang w:val="uk-UA"/>
        </w:rPr>
        <w:t>в</w:t>
      </w:r>
      <w:r w:rsidRPr="00012F54">
        <w:rPr>
          <w:rFonts w:ascii="Times New Roman" w:hAnsi="Times New Roman"/>
          <w:iCs/>
          <w:sz w:val="28"/>
          <w:szCs w:val="28"/>
        </w:rPr>
        <w:t>iosoc</w:t>
      </w:r>
      <w:r w:rsidRPr="00012F54">
        <w:rPr>
          <w:rFonts w:ascii="Times New Roman" w:hAnsi="Times New Roman"/>
          <w:iCs/>
          <w:sz w:val="28"/>
          <w:szCs w:val="28"/>
          <w:lang w:val="en-US"/>
        </w:rPr>
        <w:t>ial</w:t>
      </w:r>
      <w:r w:rsidRPr="00012F54">
        <w:rPr>
          <w:rFonts w:ascii="Times New Roman" w:hAnsi="Times New Roman"/>
          <w:iCs/>
          <w:sz w:val="28"/>
          <w:szCs w:val="28"/>
        </w:rPr>
        <w:t>anthropol</w:t>
      </w:r>
      <w:r w:rsidRPr="00012F54">
        <w:rPr>
          <w:rFonts w:ascii="Times New Roman" w:hAnsi="Times New Roman"/>
          <w:iCs/>
          <w:sz w:val="28"/>
          <w:szCs w:val="28"/>
          <w:lang w:val="en-US"/>
        </w:rPr>
        <w:t>ogy</w:t>
      </w:r>
      <w:r w:rsidRPr="00012F54">
        <w:rPr>
          <w:rFonts w:ascii="Times New Roman" w:hAnsi="Times New Roman"/>
          <w:i/>
          <w:sz w:val="28"/>
          <w:szCs w:val="28"/>
          <w:lang w:val="uk-UA"/>
        </w:rPr>
        <w:t>.</w:t>
      </w:r>
      <w:r w:rsidRPr="00012F54">
        <w:rPr>
          <w:rFonts w:ascii="Times New Roman" w:hAnsi="Times New Roman"/>
          <w:sz w:val="28"/>
          <w:szCs w:val="28"/>
          <w:lang w:val="uk-UA"/>
        </w:rPr>
        <w:t xml:space="preserve"> 2016. </w:t>
      </w:r>
      <w:r w:rsidRPr="00012F54">
        <w:rPr>
          <w:rFonts w:ascii="Times New Roman" w:hAnsi="Times New Roman"/>
          <w:sz w:val="28"/>
          <w:szCs w:val="28"/>
          <w:lang w:val="en-US"/>
        </w:rPr>
        <w:t>Vol</w:t>
      </w:r>
      <w:r w:rsidRPr="00012F54">
        <w:rPr>
          <w:rFonts w:ascii="Times New Roman" w:hAnsi="Times New Roman"/>
          <w:sz w:val="28"/>
          <w:szCs w:val="28"/>
          <w:lang w:val="uk-UA"/>
        </w:rPr>
        <w:t xml:space="preserve">. 27. Р. 62–67. </w:t>
      </w:r>
    </w:p>
    <w:p w:rsidR="00012F54" w:rsidRPr="00012F54" w:rsidRDefault="00012F54" w:rsidP="00B065B6">
      <w:pPr>
        <w:pStyle w:val="a5"/>
        <w:numPr>
          <w:ilvl w:val="0"/>
          <w:numId w:val="1"/>
        </w:numPr>
        <w:shd w:val="clear" w:color="auto" w:fill="FFFFFF"/>
        <w:tabs>
          <w:tab w:val="left" w:pos="284"/>
          <w:tab w:val="left" w:pos="567"/>
          <w:tab w:val="left" w:pos="851"/>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 xml:space="preserve">Жабоєдова Н. В., Ходаківський О. А. Дослідження метаболічних процесів у головному мозку за умов геморагічного інсульту на тлі фармакотерапії адемолом. Вісник Вінницького національного медичного університету </w:t>
      </w:r>
      <w:bookmarkStart w:id="1" w:name="_Hlk59050740"/>
      <w:r w:rsidRPr="00012F54">
        <w:rPr>
          <w:rFonts w:ascii="Times New Roman" w:hAnsi="Times New Roman"/>
          <w:sz w:val="28"/>
          <w:szCs w:val="28"/>
          <w:lang w:val="uk-UA"/>
        </w:rPr>
        <w:t>імені М. І. Пирогова</w:t>
      </w:r>
      <w:bookmarkEnd w:id="1"/>
      <w:r w:rsidRPr="00012F54">
        <w:rPr>
          <w:rFonts w:ascii="Times New Roman" w:hAnsi="Times New Roman"/>
          <w:sz w:val="28"/>
          <w:szCs w:val="28"/>
          <w:lang w:val="uk-UA"/>
        </w:rPr>
        <w:t xml:space="preserve">. 2019. № 3 (23). С. 360–367. </w:t>
      </w:r>
      <w:r w:rsidRPr="00012F54">
        <w:rPr>
          <w:rFonts w:ascii="Times New Roman" w:hAnsi="Times New Roman"/>
          <w:i/>
          <w:sz w:val="28"/>
          <w:lang w:val="uk-UA"/>
        </w:rPr>
        <w:t>(Особистий внесок: опрацювання літературних джерел, моделювання геморагічного інсульту, проведення експерименту, статистична обробка отриманих даних, формування висновків та узагальнення, підготовка, оформлення та подача тез до друку).</w:t>
      </w:r>
    </w:p>
    <w:p w:rsidR="00012F54" w:rsidRPr="00012F54" w:rsidRDefault="00012F54" w:rsidP="00B065B6">
      <w:pPr>
        <w:pStyle w:val="a5"/>
        <w:numPr>
          <w:ilvl w:val="0"/>
          <w:numId w:val="1"/>
        </w:numPr>
        <w:shd w:val="clear" w:color="auto" w:fill="FFFFFF"/>
        <w:tabs>
          <w:tab w:val="left" w:pos="284"/>
          <w:tab w:val="left" w:pos="567"/>
          <w:tab w:val="left" w:pos="851"/>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 xml:space="preserve">Voloshchuk N., Zhaboiedova N. Evaluationofthecerebroprotectiveactionof 1-adamantyloxy-3morpholino-2-propanol hydrochlorideinratswithexperimentalhemorrhagicstrokeaccording to </w:t>
      </w:r>
      <w:r w:rsidRPr="00012F54">
        <w:rPr>
          <w:rFonts w:ascii="Times New Roman" w:hAnsi="Times New Roman"/>
          <w:sz w:val="28"/>
          <w:szCs w:val="28"/>
          <w:lang w:val="uk-UA"/>
        </w:rPr>
        <w:lastRenderedPageBreak/>
        <w:t xml:space="preserve">thedynamicsofneurocytolysis, neuroapoptosisandneuroproliferationmarkers. BiologicalMarker. 2020. </w:t>
      </w:r>
      <w:r w:rsidRPr="00012F54">
        <w:rPr>
          <w:rFonts w:ascii="Times New Roman" w:hAnsi="Times New Roman"/>
          <w:sz w:val="28"/>
          <w:szCs w:val="28"/>
          <w:lang w:val="en-US"/>
        </w:rPr>
        <w:t>Vol</w:t>
      </w:r>
      <w:r w:rsidRPr="00012F54">
        <w:rPr>
          <w:rFonts w:ascii="Times New Roman" w:hAnsi="Times New Roman"/>
          <w:sz w:val="28"/>
          <w:szCs w:val="28"/>
          <w:lang w:val="uk-UA"/>
        </w:rPr>
        <w:t xml:space="preserve">. 4, № 2. </w:t>
      </w:r>
      <w:r w:rsidRPr="00012F54">
        <w:rPr>
          <w:rFonts w:ascii="Times New Roman" w:hAnsi="Times New Roman"/>
          <w:sz w:val="28"/>
          <w:szCs w:val="28"/>
          <w:lang w:val="en-US"/>
        </w:rPr>
        <w:t>P</w:t>
      </w:r>
      <w:r w:rsidRPr="00012F54">
        <w:rPr>
          <w:rFonts w:ascii="Times New Roman" w:hAnsi="Times New Roman"/>
          <w:sz w:val="28"/>
          <w:szCs w:val="28"/>
          <w:lang w:val="uk-UA"/>
        </w:rPr>
        <w:t xml:space="preserve">. 13–19. </w:t>
      </w:r>
      <w:r w:rsidR="00365B5A">
        <w:rPr>
          <w:rFonts w:ascii="Times New Roman" w:hAnsi="Times New Roman"/>
          <w:i/>
          <w:sz w:val="28"/>
          <w:lang w:val="uk-UA"/>
        </w:rPr>
        <w:t>(Особистий внесок</w:t>
      </w:r>
      <w:r w:rsidRPr="00012F54">
        <w:rPr>
          <w:rFonts w:ascii="Times New Roman" w:hAnsi="Times New Roman"/>
          <w:i/>
          <w:sz w:val="28"/>
          <w:lang w:val="uk-UA"/>
        </w:rPr>
        <w:t>: пошук та аналіз літературних джерел, відтворення геморагічного інсульту, проведення експерименту, статистична обробка отриманих даних, формування висновків та узагальнення, підготовка, оформлення та подача тез до друку).</w:t>
      </w:r>
    </w:p>
    <w:p w:rsidR="00012F54" w:rsidRPr="00012F54" w:rsidRDefault="00012F54" w:rsidP="00B065B6">
      <w:pPr>
        <w:pStyle w:val="a5"/>
        <w:numPr>
          <w:ilvl w:val="0"/>
          <w:numId w:val="1"/>
        </w:numPr>
        <w:shd w:val="clear" w:color="auto" w:fill="FFFFFF"/>
        <w:tabs>
          <w:tab w:val="left" w:pos="284"/>
          <w:tab w:val="left" w:pos="567"/>
          <w:tab w:val="left" w:pos="851"/>
        </w:tabs>
        <w:spacing w:after="0" w:line="360" w:lineRule="auto"/>
        <w:ind w:left="0" w:firstLine="284"/>
        <w:jc w:val="both"/>
        <w:rPr>
          <w:rFonts w:ascii="Times New Roman" w:hAnsi="Times New Roman"/>
          <w:i/>
          <w:sz w:val="28"/>
          <w:lang w:val="uk-UA"/>
        </w:rPr>
      </w:pPr>
      <w:bookmarkStart w:id="2" w:name="_Hlk50198567"/>
      <w:r w:rsidRPr="00012F54">
        <w:rPr>
          <w:rFonts w:ascii="Times New Roman" w:hAnsi="Times New Roman"/>
          <w:sz w:val="28"/>
          <w:szCs w:val="28"/>
          <w:lang w:val="uk-UA"/>
        </w:rPr>
        <w:t xml:space="preserve">Оцінка ефективності експериментальної терапії геморагічного інсульту промисловим зразком ампульного розчину 1-адамантилетилокси-3-морфоліно-2-пропанолу гідрохлориду ("Адемол") за активністю маркера нейродеструкції нейрон-специфічної енолази / Н. В. Жабоєдова и др. Фармація XXI століття: тенденції та перспективи: матеріали VІІІ Національного з’їзду фармацевтів України (м. Харків, 13–16 вересня 2016 р.): у 2 т. Т. 2 // </w:t>
      </w:r>
      <w:bookmarkStart w:id="3" w:name="_Hlk59050821"/>
      <w:r w:rsidRPr="00012F54">
        <w:rPr>
          <w:rFonts w:ascii="Times New Roman" w:hAnsi="Times New Roman"/>
          <w:sz w:val="28"/>
          <w:szCs w:val="28"/>
          <w:lang w:val="uk-UA"/>
        </w:rPr>
        <w:t>Міністерство охорони здоров'я України, Національний фармацевтичний університет; ред. кол.: В. П. Черних (голова) та ін.; уклад.: С. Ю. Данильченко та ін. Харків; НФаУ, 2016. С. 120–121.</w:t>
      </w:r>
      <w:bookmarkEnd w:id="2"/>
      <w:bookmarkEnd w:id="3"/>
    </w:p>
    <w:p w:rsidR="00012F54" w:rsidRPr="00012F54" w:rsidRDefault="00012F54" w:rsidP="00B065B6">
      <w:pPr>
        <w:pStyle w:val="a5"/>
        <w:numPr>
          <w:ilvl w:val="0"/>
          <w:numId w:val="1"/>
        </w:numPr>
        <w:tabs>
          <w:tab w:val="left" w:pos="-1080"/>
          <w:tab w:val="left" w:pos="0"/>
          <w:tab w:val="left" w:pos="567"/>
          <w:tab w:val="left" w:pos="851"/>
        </w:tabs>
        <w:spacing w:after="0" w:line="360" w:lineRule="auto"/>
        <w:ind w:left="0" w:firstLine="284"/>
        <w:jc w:val="both"/>
        <w:rPr>
          <w:rFonts w:ascii="Times New Roman" w:hAnsi="Times New Roman"/>
          <w:i/>
          <w:sz w:val="28"/>
          <w:lang w:val="uk-UA"/>
        </w:rPr>
      </w:pPr>
      <w:r w:rsidRPr="00012F54">
        <w:rPr>
          <w:rFonts w:ascii="Times New Roman" w:hAnsi="Times New Roman"/>
          <w:sz w:val="28"/>
          <w:szCs w:val="28"/>
          <w:lang w:val="uk-UA"/>
        </w:rPr>
        <w:t xml:space="preserve">Жабоєдова Н. В., Ходаківський О. А. Порівняльна оцінка церебропротекторної дії промислового зразка ампульного розчину 1-адамантилетилокси-3-морфоліно-2-пропанолу гідрохлориду ("Адемол"), амантадину та магнію сульфату при субарахноїдальному крововиливі у щурів за активністю нейрон-специфічної енолази. </w:t>
      </w:r>
      <w:r w:rsidRPr="00012F54">
        <w:rPr>
          <w:rFonts w:ascii="Times New Roman" w:hAnsi="Times New Roman"/>
          <w:i/>
          <w:sz w:val="28"/>
          <w:szCs w:val="28"/>
          <w:lang w:val="uk-UA"/>
        </w:rPr>
        <w:t xml:space="preserve">Фундаментальні та клінічні аспекти фармакології: </w:t>
      </w:r>
      <w:bookmarkStart w:id="4" w:name="_Hlk59050903"/>
      <w:r w:rsidRPr="00012F54">
        <w:rPr>
          <w:rFonts w:ascii="Times New Roman" w:hAnsi="Times New Roman"/>
          <w:iCs/>
          <w:sz w:val="28"/>
          <w:szCs w:val="28"/>
          <w:lang w:val="uk-UA"/>
        </w:rPr>
        <w:t>тези доповідей Всеукраїнської науково-практичної конференції з міжнародною участю, пам’яті проф. В. В. Дунаєва (Запоріжжя, 24</w:t>
      </w:r>
      <w:r w:rsidRPr="00012F54">
        <w:rPr>
          <w:rFonts w:ascii="Times New Roman" w:hAnsi="Times New Roman"/>
          <w:bCs/>
          <w:sz w:val="28"/>
          <w:szCs w:val="28"/>
          <w:lang w:val="uk-UA"/>
        </w:rPr>
        <w:t>–</w:t>
      </w:r>
      <w:r w:rsidRPr="00012F54">
        <w:rPr>
          <w:rFonts w:ascii="Times New Roman" w:hAnsi="Times New Roman"/>
          <w:iCs/>
          <w:sz w:val="28"/>
          <w:szCs w:val="28"/>
          <w:lang w:val="uk-UA"/>
        </w:rPr>
        <w:t>25 листопада 2016 р.).</w:t>
      </w:r>
      <w:r w:rsidRPr="00012F54">
        <w:rPr>
          <w:rFonts w:ascii="Times New Roman" w:hAnsi="Times New Roman"/>
          <w:sz w:val="28"/>
          <w:szCs w:val="28"/>
          <w:lang w:val="uk-UA"/>
        </w:rPr>
        <w:t xml:space="preserve">Запоріжжя: Запоріжський ДМУ, 2016. С. 43. </w:t>
      </w:r>
      <w:bookmarkEnd w:id="4"/>
    </w:p>
    <w:p w:rsidR="00012F54" w:rsidRPr="00012F54" w:rsidRDefault="00012F54" w:rsidP="00B065B6">
      <w:pPr>
        <w:pStyle w:val="11"/>
        <w:numPr>
          <w:ilvl w:val="0"/>
          <w:numId w:val="1"/>
        </w:numPr>
        <w:tabs>
          <w:tab w:val="left" w:pos="-1080"/>
          <w:tab w:val="left" w:pos="0"/>
          <w:tab w:val="left" w:pos="567"/>
          <w:tab w:val="left" w:pos="709"/>
          <w:tab w:val="left" w:pos="851"/>
          <w:tab w:val="left" w:pos="1701"/>
        </w:tabs>
        <w:spacing w:line="360" w:lineRule="auto"/>
        <w:ind w:left="0" w:firstLine="284"/>
        <w:jc w:val="both"/>
        <w:rPr>
          <w:sz w:val="28"/>
          <w:szCs w:val="28"/>
          <w:lang w:val="uk-UA"/>
        </w:rPr>
      </w:pPr>
      <w:r w:rsidRPr="00012F54">
        <w:rPr>
          <w:sz w:val="28"/>
          <w:szCs w:val="28"/>
          <w:lang w:val="uk-UA"/>
        </w:rPr>
        <w:t xml:space="preserve">Застосування комплексного патогенетично-обґрунтованого підходу до вивчення ефективності потенційних цитопротекторів при ішеміко-гіпоксичному, токсичному або травматичному ураженні серця, печінки, нирок, органа зору, центральної та периферичної нервової системи (нерви щелепно-лицьової ділянки, тощо) / Ходаківський О. А. та ін. </w:t>
      </w:r>
      <w:r w:rsidRPr="00012F54">
        <w:rPr>
          <w:iCs/>
          <w:sz w:val="28"/>
          <w:szCs w:val="28"/>
          <w:lang w:val="uk-UA"/>
        </w:rPr>
        <w:t xml:space="preserve">Сучасні аспекти клінічної фармакології на тлі досягнень доказової медицини України: </w:t>
      </w:r>
      <w:bookmarkStart w:id="5" w:name="_Hlk59050927"/>
      <w:r w:rsidRPr="00012F54">
        <w:rPr>
          <w:iCs/>
          <w:sz w:val="28"/>
          <w:szCs w:val="28"/>
          <w:lang w:val="uk-UA"/>
        </w:rPr>
        <w:t>матеріали ІХ Всеукраїнської науково-практичної конференції з міжнародною участю (</w:t>
      </w:r>
      <w:r w:rsidRPr="00012F54">
        <w:rPr>
          <w:sz w:val="28"/>
          <w:szCs w:val="28"/>
          <w:lang w:val="uk-UA"/>
        </w:rPr>
        <w:t>Вінниця,</w:t>
      </w:r>
      <w:r w:rsidRPr="00012F54">
        <w:rPr>
          <w:iCs/>
          <w:sz w:val="28"/>
          <w:szCs w:val="28"/>
          <w:lang w:val="uk-UA"/>
        </w:rPr>
        <w:t xml:space="preserve"> 16–17 листопада 2017 р.). Вінниця: Нілан-ЛТД,</w:t>
      </w:r>
      <w:r w:rsidRPr="00012F54">
        <w:rPr>
          <w:sz w:val="28"/>
          <w:szCs w:val="28"/>
          <w:lang w:val="uk-UA"/>
        </w:rPr>
        <w:t xml:space="preserve"> 2017. С. 269</w:t>
      </w:r>
      <w:r w:rsidRPr="00012F54">
        <w:rPr>
          <w:bCs/>
          <w:sz w:val="28"/>
          <w:szCs w:val="28"/>
          <w:lang w:val="uk-UA"/>
        </w:rPr>
        <w:t>–</w:t>
      </w:r>
      <w:r w:rsidRPr="00012F54">
        <w:rPr>
          <w:sz w:val="28"/>
          <w:szCs w:val="28"/>
          <w:lang w:val="uk-UA"/>
        </w:rPr>
        <w:t>273.</w:t>
      </w:r>
      <w:bookmarkEnd w:id="5"/>
    </w:p>
    <w:p w:rsidR="00012F54" w:rsidRPr="00012F54" w:rsidRDefault="00012F54" w:rsidP="00B065B6">
      <w:pPr>
        <w:pStyle w:val="a5"/>
        <w:numPr>
          <w:ilvl w:val="0"/>
          <w:numId w:val="1"/>
        </w:numPr>
        <w:shd w:val="clear" w:color="auto" w:fill="FFFFFF"/>
        <w:tabs>
          <w:tab w:val="left" w:pos="567"/>
          <w:tab w:val="left" w:pos="851"/>
        </w:tabs>
        <w:spacing w:after="0" w:line="360" w:lineRule="auto"/>
        <w:ind w:left="0" w:firstLine="284"/>
        <w:jc w:val="both"/>
        <w:rPr>
          <w:rFonts w:ascii="Times New Roman" w:hAnsi="Times New Roman"/>
          <w:i/>
          <w:sz w:val="28"/>
          <w:szCs w:val="28"/>
          <w:lang w:val="uk-UA"/>
        </w:rPr>
      </w:pPr>
      <w:r w:rsidRPr="00012F54">
        <w:rPr>
          <w:rFonts w:ascii="Times New Roman" w:hAnsi="Times New Roman"/>
          <w:sz w:val="28"/>
          <w:szCs w:val="28"/>
          <w:lang w:val="uk-UA"/>
        </w:rPr>
        <w:t xml:space="preserve">Жабоєдова Н. В., Ходаківський О. А. Дослідження неврологічного дефіциту у щурів із геморагічним інсультом на тлі терапії адемолом та оцінка його </w:t>
      </w:r>
      <w:r w:rsidRPr="00012F54">
        <w:rPr>
          <w:rFonts w:ascii="Times New Roman" w:hAnsi="Times New Roman"/>
          <w:sz w:val="28"/>
          <w:szCs w:val="28"/>
          <w:lang w:val="uk-UA"/>
        </w:rPr>
        <w:lastRenderedPageBreak/>
        <w:t xml:space="preserve">мнемотропної активності. </w:t>
      </w:r>
      <w:r w:rsidRPr="00012F54">
        <w:rPr>
          <w:rFonts w:ascii="Times New Roman" w:hAnsi="Times New Roman"/>
          <w:iCs/>
          <w:sz w:val="28"/>
          <w:szCs w:val="28"/>
          <w:lang w:val="uk-UA"/>
        </w:rPr>
        <w:t xml:space="preserve">Механізми розвитку патологічних процесів і хвороб та їхня фармакологічна корекція: </w:t>
      </w:r>
      <w:bookmarkStart w:id="6" w:name="_Hlk59050949"/>
      <w:r w:rsidRPr="00012F54">
        <w:rPr>
          <w:rFonts w:ascii="Times New Roman" w:hAnsi="Times New Roman"/>
          <w:iCs/>
          <w:sz w:val="28"/>
          <w:szCs w:val="28"/>
          <w:lang w:val="uk-UA"/>
        </w:rPr>
        <w:t>матеріали І науково-практичної інтернет-конференції з міжнародною участю (18 жовтня 2018 р.). Х.: НФаУ, 2018.С. 90</w:t>
      </w:r>
      <w:r w:rsidRPr="00012F54">
        <w:rPr>
          <w:rFonts w:ascii="Times New Roman" w:hAnsi="Times New Roman"/>
          <w:bCs/>
          <w:sz w:val="28"/>
          <w:szCs w:val="28"/>
          <w:lang w:val="uk-UA"/>
        </w:rPr>
        <w:t>–91.</w:t>
      </w:r>
      <w:bookmarkEnd w:id="6"/>
    </w:p>
    <w:p w:rsidR="00012F54" w:rsidRPr="00012F54" w:rsidRDefault="00012F54" w:rsidP="00B065B6">
      <w:pPr>
        <w:pStyle w:val="a5"/>
        <w:numPr>
          <w:ilvl w:val="0"/>
          <w:numId w:val="1"/>
        </w:numPr>
        <w:shd w:val="clear" w:color="auto" w:fill="FFFFFF"/>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 xml:space="preserve">Жабоєдова Н. В., Ходаківський О. А. Оцінка імуноферментрних та протоково-цитометричних маркерів церебропротекторної дії адемолу в умовах експериментального геморагічного інсульту за активністю процесів нейроцитолізу, нейроапоптозу та нейропроліферації. </w:t>
      </w:r>
      <w:r w:rsidRPr="00012F54">
        <w:rPr>
          <w:rFonts w:ascii="Times New Roman" w:hAnsi="Times New Roman"/>
          <w:iCs/>
          <w:sz w:val="28"/>
          <w:szCs w:val="28"/>
          <w:lang w:val="uk-UA"/>
        </w:rPr>
        <w:t>Механізми розвитку патологічних процесів і хвороб та їхня фармакологічна корекція:</w:t>
      </w:r>
      <w:bookmarkStart w:id="7" w:name="_Hlk59050993"/>
      <w:r w:rsidRPr="00012F54">
        <w:rPr>
          <w:rFonts w:ascii="Times New Roman" w:hAnsi="Times New Roman"/>
          <w:iCs/>
          <w:sz w:val="28"/>
          <w:szCs w:val="28"/>
          <w:lang w:val="uk-UA"/>
        </w:rPr>
        <w:t>тези доповідей ІІ науково-практичної інтернет-конференції з міжнародною участю (Харків, 21 листопада 2019 р.)</w:t>
      </w:r>
      <w:r w:rsidRPr="00012F54">
        <w:rPr>
          <w:rFonts w:ascii="Times New Roman" w:hAnsi="Times New Roman"/>
          <w:sz w:val="28"/>
          <w:szCs w:val="28"/>
          <w:lang w:val="uk-UA"/>
        </w:rPr>
        <w:t xml:space="preserve">. </w:t>
      </w:r>
      <w:r w:rsidRPr="00012F54">
        <w:rPr>
          <w:rFonts w:ascii="Times New Roman" w:hAnsi="Times New Roman"/>
          <w:iCs/>
          <w:sz w:val="28"/>
          <w:szCs w:val="28"/>
          <w:lang w:val="uk-UA"/>
        </w:rPr>
        <w:t>Х.: НФаУ, 2019. С. 153</w:t>
      </w:r>
      <w:r w:rsidRPr="00012F54">
        <w:rPr>
          <w:rFonts w:ascii="Times New Roman" w:hAnsi="Times New Roman"/>
          <w:bCs/>
          <w:sz w:val="28"/>
          <w:szCs w:val="28"/>
          <w:lang w:val="uk-UA"/>
        </w:rPr>
        <w:t>–154.</w:t>
      </w:r>
      <w:bookmarkEnd w:id="7"/>
    </w:p>
    <w:p w:rsidR="00012F54" w:rsidRPr="00012F54" w:rsidRDefault="00012F54" w:rsidP="00B065B6">
      <w:pPr>
        <w:pStyle w:val="a5"/>
        <w:numPr>
          <w:ilvl w:val="0"/>
          <w:numId w:val="1"/>
        </w:numPr>
        <w:shd w:val="clear" w:color="auto" w:fill="FFFFFF"/>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 xml:space="preserve">Жабоєдова Н. В., Ходаківський О. А. </w:t>
      </w:r>
      <w:r w:rsidRPr="00012F54">
        <w:rPr>
          <w:rFonts w:ascii="Times New Roman" w:hAnsi="Times New Roman"/>
          <w:iCs/>
          <w:sz w:val="28"/>
          <w:szCs w:val="28"/>
          <w:lang w:val="uk-UA"/>
        </w:rPr>
        <w:t>Характеристика моделі геморагічного інсульту на прикладі доклінічної оцінки нейропротекторних властивостей адемолу.Сучасні аспекти клінічної фармакології на тлі досягнень доказової медицини України</w:t>
      </w:r>
      <w:r w:rsidRPr="00012F54">
        <w:rPr>
          <w:rFonts w:ascii="Times New Roman" w:hAnsi="Times New Roman"/>
          <w:i/>
          <w:sz w:val="28"/>
          <w:szCs w:val="28"/>
          <w:lang w:val="uk-UA"/>
        </w:rPr>
        <w:t xml:space="preserve">: </w:t>
      </w:r>
      <w:bookmarkStart w:id="8" w:name="_Hlk59051048"/>
      <w:r w:rsidRPr="00012F54">
        <w:rPr>
          <w:rFonts w:ascii="Times New Roman" w:hAnsi="Times New Roman"/>
          <w:iCs/>
          <w:sz w:val="28"/>
          <w:szCs w:val="28"/>
          <w:lang w:val="uk-UA"/>
        </w:rPr>
        <w:t>матеріали Х Всеукраїнської науково-практичної конференції з міжнародною участю (Ві</w:t>
      </w:r>
      <w:r w:rsidRPr="00012F54">
        <w:rPr>
          <w:rFonts w:ascii="Times New Roman" w:hAnsi="Times New Roman"/>
          <w:sz w:val="28"/>
          <w:szCs w:val="28"/>
          <w:lang w:val="uk-UA"/>
        </w:rPr>
        <w:t>нниця, 7–8 листопада 2019 р.). Вінниця: ТОВ «ТВОРИ», 2019.</w:t>
      </w:r>
      <w:r w:rsidRPr="00012F54">
        <w:rPr>
          <w:rFonts w:ascii="Times New Roman" w:hAnsi="Times New Roman"/>
          <w:iCs/>
          <w:sz w:val="28"/>
          <w:szCs w:val="28"/>
          <w:lang w:val="uk-UA"/>
        </w:rPr>
        <w:t>С. 68</w:t>
      </w:r>
      <w:r w:rsidRPr="00012F54">
        <w:rPr>
          <w:rFonts w:ascii="Times New Roman" w:hAnsi="Times New Roman"/>
          <w:bCs/>
          <w:sz w:val="28"/>
          <w:szCs w:val="28"/>
          <w:lang w:val="uk-UA"/>
        </w:rPr>
        <w:t>–</w:t>
      </w:r>
      <w:r w:rsidRPr="00012F54">
        <w:rPr>
          <w:rFonts w:ascii="Times New Roman" w:hAnsi="Times New Roman"/>
          <w:iCs/>
          <w:sz w:val="28"/>
          <w:szCs w:val="28"/>
          <w:lang w:val="uk-UA"/>
        </w:rPr>
        <w:t>70.</w:t>
      </w:r>
      <w:bookmarkEnd w:id="8"/>
    </w:p>
    <w:p w:rsidR="00012F54" w:rsidRPr="00012F54" w:rsidRDefault="00012F54" w:rsidP="00B065B6">
      <w:pPr>
        <w:pStyle w:val="a5"/>
        <w:numPr>
          <w:ilvl w:val="0"/>
          <w:numId w:val="1"/>
        </w:numPr>
        <w:shd w:val="clear" w:color="auto" w:fill="FFFFFF"/>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 xml:space="preserve">Жабоєдова Н. В. Оцінка церебропротекторної активності адемолу в умовах геморагічного інсульту у щурів. Перший крок в науку – 2020: </w:t>
      </w:r>
      <w:bookmarkStart w:id="9" w:name="_Hlk59051072"/>
      <w:r w:rsidRPr="00012F54">
        <w:rPr>
          <w:rFonts w:ascii="Times New Roman" w:hAnsi="Times New Roman"/>
          <w:sz w:val="28"/>
          <w:szCs w:val="28"/>
          <w:lang w:val="uk-UA"/>
        </w:rPr>
        <w:t xml:space="preserve">тези доповідей XVII науково-практичної конференції студентів та молодих вчених з міжнародною участю (Вінниця, 8–10 квітня 2020 р.). Вінниця:  ФОП Корзун Д.Ю.,  2019. С. 487. </w:t>
      </w:r>
      <w:bookmarkEnd w:id="9"/>
    </w:p>
    <w:p w:rsidR="00012F54" w:rsidRPr="00012F54" w:rsidRDefault="00012F54" w:rsidP="00B065B6">
      <w:pPr>
        <w:spacing w:after="160" w:line="259" w:lineRule="auto"/>
        <w:ind w:firstLine="284"/>
        <w:rPr>
          <w:rFonts w:ascii="Times New Roman" w:hAnsi="Times New Roman"/>
        </w:rPr>
      </w:pPr>
      <w:r w:rsidRPr="00012F54">
        <w:rPr>
          <w:rFonts w:ascii="Times New Roman" w:hAnsi="Times New Roman"/>
        </w:rPr>
        <w:br w:type="page"/>
      </w:r>
    </w:p>
    <w:p w:rsidR="00012F54" w:rsidRPr="00012F54" w:rsidRDefault="00012F54" w:rsidP="00B065B6">
      <w:pPr>
        <w:pStyle w:val="1"/>
        <w:ind w:firstLine="284"/>
        <w:jc w:val="center"/>
        <w:rPr>
          <w:caps/>
          <w:sz w:val="28"/>
          <w:szCs w:val="28"/>
          <w:lang w:val="uk-UA"/>
        </w:rPr>
      </w:pPr>
      <w:r w:rsidRPr="00012F54">
        <w:rPr>
          <w:caps/>
          <w:sz w:val="28"/>
          <w:szCs w:val="28"/>
          <w:lang w:val="uk-UA"/>
        </w:rPr>
        <w:lastRenderedPageBreak/>
        <w:t>ЗМІСТ</w:t>
      </w:r>
    </w:p>
    <w:tbl>
      <w:tblPr>
        <w:tblW w:w="10314" w:type="dxa"/>
        <w:tblLayout w:type="fixed"/>
        <w:tblLook w:val="0000"/>
      </w:tblPr>
      <w:tblGrid>
        <w:gridCol w:w="9606"/>
        <w:gridCol w:w="708"/>
      </w:tblGrid>
      <w:tr w:rsidR="00012F54" w:rsidRPr="00012F54" w:rsidTr="00012F54">
        <w:tc>
          <w:tcPr>
            <w:tcW w:w="9606" w:type="dxa"/>
          </w:tcPr>
          <w:p w:rsidR="00012F54" w:rsidRPr="00012F54" w:rsidRDefault="00012F54" w:rsidP="00B065B6">
            <w:pPr>
              <w:suppressAutoHyphens/>
              <w:snapToGrid w:val="0"/>
              <w:spacing w:after="0" w:line="360" w:lineRule="auto"/>
              <w:ind w:firstLine="284"/>
              <w:rPr>
                <w:rFonts w:ascii="Times New Roman" w:hAnsi="Times New Roman"/>
                <w:bCs/>
                <w:sz w:val="28"/>
                <w:szCs w:val="28"/>
                <w:lang w:val="en-US" w:eastAsia="ar-SA"/>
              </w:rPr>
            </w:pPr>
            <w:r w:rsidRPr="00012F54">
              <w:rPr>
                <w:rFonts w:ascii="Times New Roman" w:hAnsi="Times New Roman"/>
                <w:bCs/>
                <w:sz w:val="28"/>
                <w:szCs w:val="28"/>
                <w:lang w:val="uk-UA" w:eastAsia="ar-SA"/>
              </w:rPr>
              <w:t>АНОТАЦІЯ</w:t>
            </w:r>
            <w:r w:rsidRPr="00012F54">
              <w:rPr>
                <w:rFonts w:ascii="Times New Roman" w:hAnsi="Times New Roman"/>
                <w:bCs/>
                <w:sz w:val="28"/>
                <w:szCs w:val="28"/>
                <w:lang w:val="en-US" w:eastAsia="ar-SA"/>
              </w:rPr>
              <w:t>……………………………………………………………………..</w:t>
            </w:r>
          </w:p>
        </w:tc>
        <w:tc>
          <w:tcPr>
            <w:tcW w:w="708" w:type="dxa"/>
          </w:tcPr>
          <w:p w:rsidR="00012F54" w:rsidRPr="00012F54" w:rsidRDefault="00012F54" w:rsidP="005879AB">
            <w:pPr>
              <w:suppressAutoHyphens/>
              <w:snapToGrid w:val="0"/>
              <w:spacing w:after="0" w:line="360" w:lineRule="auto"/>
              <w:jc w:val="right"/>
              <w:rPr>
                <w:rFonts w:ascii="Times New Roman" w:hAnsi="Times New Roman"/>
                <w:bCs/>
                <w:sz w:val="28"/>
                <w:szCs w:val="28"/>
                <w:lang w:eastAsia="ar-SA"/>
              </w:rPr>
            </w:pPr>
            <w:r w:rsidRPr="00012F54">
              <w:rPr>
                <w:rFonts w:ascii="Times New Roman" w:hAnsi="Times New Roman"/>
                <w:bCs/>
                <w:sz w:val="28"/>
                <w:szCs w:val="28"/>
                <w:lang w:eastAsia="ar-SA"/>
              </w:rPr>
              <w:t>2</w:t>
            </w:r>
          </w:p>
        </w:tc>
      </w:tr>
      <w:tr w:rsidR="00012F54" w:rsidRPr="00012F54" w:rsidTr="00012F54">
        <w:tc>
          <w:tcPr>
            <w:tcW w:w="9606" w:type="dxa"/>
          </w:tcPr>
          <w:p w:rsidR="00012F54" w:rsidRPr="00012F54" w:rsidRDefault="00012F54" w:rsidP="00B065B6">
            <w:pPr>
              <w:suppressAutoHyphens/>
              <w:snapToGrid w:val="0"/>
              <w:spacing w:after="0" w:line="360" w:lineRule="auto"/>
              <w:ind w:firstLine="284"/>
              <w:rPr>
                <w:rFonts w:ascii="Times New Roman" w:hAnsi="Times New Roman"/>
                <w:bCs/>
                <w:sz w:val="28"/>
                <w:szCs w:val="28"/>
                <w:lang w:val="en-US" w:eastAsia="ar-SA"/>
              </w:rPr>
            </w:pPr>
            <w:r w:rsidRPr="00012F54">
              <w:rPr>
                <w:rFonts w:ascii="Times New Roman" w:hAnsi="Times New Roman"/>
                <w:bCs/>
                <w:sz w:val="28"/>
                <w:szCs w:val="28"/>
                <w:lang w:val="uk-UA" w:eastAsia="ar-SA"/>
              </w:rPr>
              <w:t>ПЕРЕЛІК УМОВНИХ СКОРОЧЕНЬ</w:t>
            </w:r>
            <w:r w:rsidRPr="00012F54">
              <w:rPr>
                <w:rFonts w:ascii="Times New Roman" w:hAnsi="Times New Roman"/>
                <w:bCs/>
                <w:sz w:val="28"/>
                <w:szCs w:val="28"/>
                <w:lang w:val="en-US" w:eastAsia="ar-SA"/>
              </w:rPr>
              <w:t>…………………………………………</w:t>
            </w:r>
          </w:p>
        </w:tc>
        <w:tc>
          <w:tcPr>
            <w:tcW w:w="708" w:type="dxa"/>
          </w:tcPr>
          <w:p w:rsidR="00012F54" w:rsidRPr="00012F54" w:rsidRDefault="00012F54" w:rsidP="005879AB">
            <w:pPr>
              <w:suppressAutoHyphens/>
              <w:snapToGrid w:val="0"/>
              <w:spacing w:after="0" w:line="360" w:lineRule="auto"/>
              <w:jc w:val="right"/>
              <w:rPr>
                <w:rFonts w:ascii="Times New Roman" w:hAnsi="Times New Roman"/>
                <w:bCs/>
                <w:sz w:val="28"/>
                <w:szCs w:val="28"/>
                <w:lang w:val="uk-UA" w:eastAsia="ar-SA"/>
              </w:rPr>
            </w:pPr>
            <w:r w:rsidRPr="00012F54">
              <w:rPr>
                <w:rFonts w:ascii="Times New Roman" w:hAnsi="Times New Roman"/>
                <w:bCs/>
                <w:sz w:val="28"/>
                <w:szCs w:val="28"/>
                <w:lang w:eastAsia="ar-SA"/>
              </w:rPr>
              <w:t>1</w:t>
            </w:r>
            <w:r w:rsidRPr="00012F54">
              <w:rPr>
                <w:rFonts w:ascii="Times New Roman" w:hAnsi="Times New Roman"/>
                <w:bCs/>
                <w:sz w:val="28"/>
                <w:szCs w:val="28"/>
                <w:lang w:val="uk-UA" w:eastAsia="ar-SA"/>
              </w:rPr>
              <w:t>8</w:t>
            </w:r>
          </w:p>
        </w:tc>
      </w:tr>
      <w:tr w:rsidR="00012F54" w:rsidRPr="00012F54" w:rsidTr="00012F54">
        <w:tc>
          <w:tcPr>
            <w:tcW w:w="9606" w:type="dxa"/>
          </w:tcPr>
          <w:p w:rsidR="00012F54" w:rsidRPr="00012F54" w:rsidRDefault="00012F54" w:rsidP="00B065B6">
            <w:pPr>
              <w:suppressAutoHyphens/>
              <w:snapToGrid w:val="0"/>
              <w:spacing w:after="0" w:line="360" w:lineRule="auto"/>
              <w:ind w:firstLine="284"/>
              <w:rPr>
                <w:rFonts w:ascii="Times New Roman" w:hAnsi="Times New Roman"/>
                <w:bCs/>
                <w:sz w:val="28"/>
                <w:szCs w:val="28"/>
                <w:lang w:val="en-US" w:eastAsia="ar-SA"/>
              </w:rPr>
            </w:pPr>
            <w:r w:rsidRPr="00012F54">
              <w:rPr>
                <w:rFonts w:ascii="Times New Roman" w:hAnsi="Times New Roman"/>
                <w:bCs/>
                <w:sz w:val="28"/>
                <w:szCs w:val="28"/>
                <w:lang w:val="uk-UA" w:eastAsia="ar-SA"/>
              </w:rPr>
              <w:t>ВСТУП</w:t>
            </w:r>
            <w:r w:rsidRPr="00012F54">
              <w:rPr>
                <w:rFonts w:ascii="Times New Roman" w:hAnsi="Times New Roman"/>
                <w:bCs/>
                <w:sz w:val="28"/>
                <w:szCs w:val="28"/>
                <w:lang w:val="en-US" w:eastAsia="ar-SA"/>
              </w:rPr>
              <w:t>…………………………………………………………………………..</w:t>
            </w:r>
          </w:p>
        </w:tc>
        <w:tc>
          <w:tcPr>
            <w:tcW w:w="708" w:type="dxa"/>
          </w:tcPr>
          <w:p w:rsidR="00012F54" w:rsidRPr="00012F54" w:rsidRDefault="00012F54" w:rsidP="005879AB">
            <w:pPr>
              <w:suppressAutoHyphens/>
              <w:snapToGrid w:val="0"/>
              <w:spacing w:after="0" w:line="360" w:lineRule="auto"/>
              <w:jc w:val="right"/>
              <w:rPr>
                <w:rFonts w:ascii="Times New Roman" w:hAnsi="Times New Roman"/>
                <w:bCs/>
                <w:sz w:val="28"/>
                <w:szCs w:val="28"/>
                <w:lang w:val="uk-UA" w:eastAsia="ar-SA"/>
              </w:rPr>
            </w:pPr>
            <w:r w:rsidRPr="00012F54">
              <w:rPr>
                <w:rFonts w:ascii="Times New Roman" w:hAnsi="Times New Roman"/>
                <w:bCs/>
                <w:sz w:val="28"/>
                <w:szCs w:val="28"/>
                <w:lang w:val="uk-UA" w:eastAsia="ar-SA"/>
              </w:rPr>
              <w:t>20</w:t>
            </w:r>
          </w:p>
        </w:tc>
      </w:tr>
      <w:tr w:rsidR="00012F54" w:rsidRPr="00012F54" w:rsidTr="00012F54">
        <w:tc>
          <w:tcPr>
            <w:tcW w:w="9606" w:type="dxa"/>
          </w:tcPr>
          <w:p w:rsidR="00012F54" w:rsidRPr="00012F54" w:rsidRDefault="00012F54" w:rsidP="00B065B6">
            <w:pPr>
              <w:suppressAutoHyphens/>
              <w:snapToGrid w:val="0"/>
              <w:spacing w:after="0" w:line="360" w:lineRule="auto"/>
              <w:ind w:firstLine="284"/>
              <w:jc w:val="both"/>
              <w:rPr>
                <w:rFonts w:ascii="Times New Roman" w:hAnsi="Times New Roman"/>
                <w:bCs/>
                <w:sz w:val="28"/>
                <w:szCs w:val="28"/>
                <w:lang w:eastAsia="ar-SA"/>
              </w:rPr>
            </w:pPr>
            <w:r w:rsidRPr="00012F54">
              <w:rPr>
                <w:rFonts w:ascii="Times New Roman" w:hAnsi="Times New Roman"/>
                <w:bCs/>
                <w:sz w:val="28"/>
                <w:szCs w:val="28"/>
                <w:lang w:val="uk-UA" w:eastAsia="ar-SA"/>
              </w:rPr>
              <w:t>РОЗДІЛ 1</w:t>
            </w:r>
            <w:r w:rsidRPr="00012F54">
              <w:rPr>
                <w:rFonts w:ascii="Times New Roman" w:hAnsi="Times New Roman"/>
                <w:bCs/>
                <w:sz w:val="28"/>
                <w:szCs w:val="28"/>
                <w:lang w:eastAsia="ar-SA"/>
              </w:rPr>
              <w:t xml:space="preserve">. </w:t>
            </w:r>
            <w:r w:rsidRPr="00012F54">
              <w:rPr>
                <w:rFonts w:ascii="Times New Roman" w:hAnsi="Times New Roman"/>
                <w:sz w:val="28"/>
                <w:szCs w:val="28"/>
                <w:lang w:val="uk-UA"/>
              </w:rPr>
              <w:t>ПАТОГЕНЕТИЧНІ ОСОБЛИВОСТІ ФООРМУВАННЯ ІШЕМІЧНОГО ВОГНИЩА ПРИ ІНТРАЦЕРЕБРАЛЬНІЙ ГЕМОРАГІЇ. НАПРЯМКИ, МОЖЛИВОСТІ ТА ЗАСАДИ НЕЙРОПРОТЕКТОРНОЇ ТЕРАПІЇ ГЕМОРАГІЧНОГО ІНСУЛЬТУ (огляд літератури)</w:t>
            </w:r>
            <w:r w:rsidRPr="00012F54">
              <w:rPr>
                <w:rFonts w:ascii="Times New Roman" w:hAnsi="Times New Roman"/>
                <w:sz w:val="28"/>
                <w:szCs w:val="28"/>
              </w:rPr>
              <w:t>………………….</w:t>
            </w:r>
          </w:p>
        </w:tc>
        <w:tc>
          <w:tcPr>
            <w:tcW w:w="708" w:type="dxa"/>
          </w:tcPr>
          <w:p w:rsidR="00012F54" w:rsidRPr="00012F54" w:rsidRDefault="00012F54" w:rsidP="005879AB">
            <w:pPr>
              <w:suppressAutoHyphens/>
              <w:spacing w:after="0" w:line="360" w:lineRule="auto"/>
              <w:jc w:val="right"/>
              <w:rPr>
                <w:rFonts w:ascii="Times New Roman" w:hAnsi="Times New Roman"/>
                <w:bCs/>
                <w:sz w:val="28"/>
                <w:szCs w:val="28"/>
                <w:lang w:eastAsia="ar-SA"/>
              </w:rPr>
            </w:pPr>
          </w:p>
          <w:p w:rsidR="00012F54" w:rsidRPr="00012F54" w:rsidRDefault="00012F54" w:rsidP="005879AB">
            <w:pPr>
              <w:suppressAutoHyphens/>
              <w:spacing w:after="0" w:line="360" w:lineRule="auto"/>
              <w:jc w:val="right"/>
              <w:rPr>
                <w:rFonts w:ascii="Times New Roman" w:hAnsi="Times New Roman"/>
                <w:bCs/>
                <w:sz w:val="28"/>
                <w:szCs w:val="28"/>
                <w:lang w:eastAsia="ar-SA"/>
              </w:rPr>
            </w:pPr>
          </w:p>
          <w:p w:rsidR="00012F54" w:rsidRPr="00012F54" w:rsidRDefault="00012F54" w:rsidP="005879AB">
            <w:pPr>
              <w:suppressAutoHyphens/>
              <w:spacing w:after="0" w:line="360" w:lineRule="auto"/>
              <w:jc w:val="right"/>
              <w:rPr>
                <w:rFonts w:ascii="Times New Roman" w:hAnsi="Times New Roman"/>
                <w:bCs/>
                <w:sz w:val="28"/>
                <w:szCs w:val="28"/>
                <w:lang w:eastAsia="ar-SA"/>
              </w:rPr>
            </w:pPr>
          </w:p>
          <w:p w:rsidR="00012F54" w:rsidRPr="00012F54" w:rsidRDefault="00012F54" w:rsidP="005879AB">
            <w:pPr>
              <w:suppressAutoHyphens/>
              <w:spacing w:after="0" w:line="360" w:lineRule="auto"/>
              <w:jc w:val="right"/>
              <w:rPr>
                <w:rFonts w:ascii="Times New Roman" w:hAnsi="Times New Roman"/>
                <w:bCs/>
                <w:sz w:val="28"/>
                <w:szCs w:val="28"/>
                <w:lang w:val="uk-UA" w:eastAsia="ar-SA"/>
              </w:rPr>
            </w:pPr>
            <w:r w:rsidRPr="00012F54">
              <w:rPr>
                <w:rFonts w:ascii="Times New Roman" w:hAnsi="Times New Roman"/>
                <w:bCs/>
                <w:sz w:val="28"/>
                <w:szCs w:val="28"/>
                <w:lang w:eastAsia="ar-SA"/>
              </w:rPr>
              <w:t>2</w:t>
            </w:r>
            <w:r w:rsidRPr="00012F54">
              <w:rPr>
                <w:rFonts w:ascii="Times New Roman" w:hAnsi="Times New Roman"/>
                <w:bCs/>
                <w:sz w:val="28"/>
                <w:szCs w:val="28"/>
                <w:lang w:val="uk-UA" w:eastAsia="ar-SA"/>
              </w:rPr>
              <w:t>6</w:t>
            </w:r>
          </w:p>
        </w:tc>
      </w:tr>
      <w:tr w:rsidR="00012F54" w:rsidRPr="00012F54" w:rsidTr="00012F54">
        <w:tc>
          <w:tcPr>
            <w:tcW w:w="9606" w:type="dxa"/>
          </w:tcPr>
          <w:p w:rsidR="00012F54" w:rsidRPr="00012F54" w:rsidRDefault="00012F54" w:rsidP="00B065B6">
            <w:pPr>
              <w:numPr>
                <w:ilvl w:val="1"/>
                <w:numId w:val="2"/>
              </w:numPr>
              <w:tabs>
                <w:tab w:val="left" w:pos="1164"/>
              </w:tabs>
              <w:suppressAutoHyphens/>
              <w:spacing w:after="0" w:line="360" w:lineRule="auto"/>
              <w:ind w:left="0" w:firstLine="284"/>
              <w:jc w:val="both"/>
              <w:rPr>
                <w:rFonts w:ascii="Times New Roman" w:hAnsi="Times New Roman"/>
                <w:sz w:val="28"/>
                <w:szCs w:val="28"/>
                <w:lang w:val="uk-UA" w:eastAsia="ar-SA"/>
              </w:rPr>
            </w:pPr>
            <w:r w:rsidRPr="00012F54">
              <w:rPr>
                <w:rFonts w:ascii="Times New Roman" w:hAnsi="Times New Roman"/>
                <w:sz w:val="28"/>
                <w:szCs w:val="28"/>
                <w:lang w:val="uk-UA"/>
              </w:rPr>
              <w:t>Особливості формування провідних ланок патобіохімічного каскаду в нейронах при інтракраніальному крововиливі поліетіологічної природи (субарахноїдальний та внутрішньочерепний крововил</w:t>
            </w:r>
            <w:r w:rsidR="00992E04">
              <w:rPr>
                <w:rFonts w:ascii="Times New Roman" w:hAnsi="Times New Roman"/>
                <w:sz w:val="28"/>
                <w:szCs w:val="28"/>
                <w:lang w:val="uk-UA"/>
              </w:rPr>
              <w:t>ив, черепно-мозкова травма</w:t>
            </w:r>
            <w:r w:rsidRPr="00012F54">
              <w:rPr>
                <w:rFonts w:ascii="Times New Roman" w:hAnsi="Times New Roman"/>
                <w:sz w:val="28"/>
                <w:szCs w:val="28"/>
                <w:lang w:val="uk-UA"/>
              </w:rPr>
              <w:t>)</w:t>
            </w:r>
            <w:r w:rsidRPr="00012F54">
              <w:rPr>
                <w:rFonts w:ascii="Times New Roman" w:hAnsi="Times New Roman"/>
                <w:sz w:val="28"/>
                <w:szCs w:val="28"/>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eastAsia="ar-SA"/>
              </w:rPr>
            </w:pPr>
          </w:p>
          <w:p w:rsidR="00012F54" w:rsidRPr="00012F54" w:rsidRDefault="00012F54" w:rsidP="005879AB">
            <w:pPr>
              <w:suppressAutoHyphens/>
              <w:spacing w:after="0" w:line="360" w:lineRule="auto"/>
              <w:jc w:val="right"/>
              <w:rPr>
                <w:rFonts w:ascii="Times New Roman" w:hAnsi="Times New Roman"/>
                <w:sz w:val="28"/>
                <w:szCs w:val="28"/>
                <w:lang w:eastAsia="ar-SA"/>
              </w:rPr>
            </w:pPr>
          </w:p>
          <w:p w:rsidR="00012F54" w:rsidRPr="00012F54" w:rsidRDefault="00012F54" w:rsidP="005879AB">
            <w:pPr>
              <w:suppressAutoHyphens/>
              <w:spacing w:after="0" w:line="360" w:lineRule="auto"/>
              <w:jc w:val="right"/>
              <w:rPr>
                <w:rFonts w:ascii="Times New Roman" w:hAnsi="Times New Roman"/>
                <w:sz w:val="28"/>
                <w:szCs w:val="28"/>
                <w:lang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eastAsia="ar-SA"/>
              </w:rPr>
              <w:t>2</w:t>
            </w:r>
            <w:r w:rsidRPr="00012F54">
              <w:rPr>
                <w:rFonts w:ascii="Times New Roman" w:hAnsi="Times New Roman"/>
                <w:sz w:val="28"/>
                <w:szCs w:val="28"/>
                <w:lang w:val="uk-UA" w:eastAsia="ar-SA"/>
              </w:rPr>
              <w:t>6</w:t>
            </w:r>
          </w:p>
        </w:tc>
      </w:tr>
      <w:tr w:rsidR="00012F54" w:rsidRPr="00012F54" w:rsidTr="00012F54">
        <w:tc>
          <w:tcPr>
            <w:tcW w:w="9606" w:type="dxa"/>
          </w:tcPr>
          <w:p w:rsidR="00012F54" w:rsidRPr="00012F54" w:rsidRDefault="00012F54" w:rsidP="00B065B6">
            <w:pPr>
              <w:numPr>
                <w:ilvl w:val="1"/>
                <w:numId w:val="2"/>
              </w:numPr>
              <w:tabs>
                <w:tab w:val="left" w:pos="1164"/>
              </w:tabs>
              <w:suppressAutoHyphen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Програма цитопротекторної терапії (у т.ч. нейропротективної) в Україні та за кордоном: здобутки, недоліки та новітні напрями розвитку</w:t>
            </w:r>
            <w:r w:rsidR="002579FF">
              <w:rPr>
                <w:rFonts w:ascii="Times New Roman" w:hAnsi="Times New Roman"/>
                <w:sz w:val="28"/>
                <w:szCs w:val="28"/>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eastAsia="ar-SA"/>
              </w:rPr>
              <w:t>3</w:t>
            </w:r>
            <w:r w:rsidRPr="00012F54">
              <w:rPr>
                <w:rFonts w:ascii="Times New Roman" w:hAnsi="Times New Roman"/>
                <w:sz w:val="28"/>
                <w:szCs w:val="28"/>
                <w:lang w:val="uk-UA" w:eastAsia="ar-SA"/>
              </w:rPr>
              <w:t>0</w:t>
            </w:r>
          </w:p>
        </w:tc>
      </w:tr>
      <w:tr w:rsidR="00012F54" w:rsidRPr="00012F54" w:rsidTr="00012F54">
        <w:tc>
          <w:tcPr>
            <w:tcW w:w="9606" w:type="dxa"/>
          </w:tcPr>
          <w:p w:rsidR="00012F54" w:rsidRPr="00012F54" w:rsidRDefault="001620D9" w:rsidP="00B065B6">
            <w:pPr>
              <w:numPr>
                <w:ilvl w:val="1"/>
                <w:numId w:val="2"/>
              </w:numPr>
              <w:tabs>
                <w:tab w:val="left" w:pos="1164"/>
              </w:tabs>
              <w:suppressAutoHyphens/>
              <w:spacing w:after="0" w:line="360" w:lineRule="auto"/>
              <w:ind w:left="0" w:firstLine="284"/>
              <w:jc w:val="both"/>
              <w:rPr>
                <w:rFonts w:ascii="Times New Roman" w:hAnsi="Times New Roman"/>
                <w:sz w:val="28"/>
                <w:szCs w:val="28"/>
                <w:lang w:val="uk-UA"/>
              </w:rPr>
            </w:pPr>
            <w:r>
              <w:rPr>
                <w:rFonts w:ascii="Times New Roman" w:hAnsi="Times New Roman"/>
                <w:sz w:val="28"/>
                <w:szCs w:val="28"/>
                <w:lang w:val="uk-UA"/>
              </w:rPr>
              <w:t>Проблеми адекватност</w:t>
            </w:r>
            <w:r w:rsidR="00A14E0A">
              <w:rPr>
                <w:rFonts w:ascii="Times New Roman" w:hAnsi="Times New Roman"/>
                <w:sz w:val="28"/>
                <w:szCs w:val="28"/>
                <w:lang w:val="uk-UA"/>
              </w:rPr>
              <w:t>і</w:t>
            </w:r>
            <w:r>
              <w:rPr>
                <w:rFonts w:ascii="Times New Roman" w:hAnsi="Times New Roman"/>
                <w:sz w:val="28"/>
                <w:szCs w:val="28"/>
                <w:lang w:val="uk-UA"/>
              </w:rPr>
              <w:t xml:space="preserve"> моделе</w:t>
            </w:r>
            <w:r w:rsidRPr="00116C15">
              <w:rPr>
                <w:rFonts w:ascii="Times New Roman" w:hAnsi="Times New Roman"/>
                <w:sz w:val="28"/>
                <w:szCs w:val="28"/>
                <w:lang w:val="uk-UA"/>
              </w:rPr>
              <w:t>й</w:t>
            </w:r>
            <w:r>
              <w:rPr>
                <w:rFonts w:ascii="Times New Roman" w:hAnsi="Times New Roman"/>
                <w:sz w:val="28"/>
                <w:szCs w:val="28"/>
                <w:lang w:val="uk-UA"/>
              </w:rPr>
              <w:t xml:space="preserve"> церебральної гострої </w:t>
            </w:r>
            <w:r w:rsidR="00A14E0A" w:rsidRPr="00A14E0A">
              <w:rPr>
                <w:rFonts w:ascii="Times New Roman" w:hAnsi="Times New Roman"/>
                <w:sz w:val="28"/>
                <w:szCs w:val="28"/>
                <w:lang w:val="uk-UA"/>
              </w:rPr>
              <w:t>і</w:t>
            </w:r>
            <w:r w:rsidRPr="00A14E0A">
              <w:rPr>
                <w:rFonts w:ascii="Times New Roman" w:hAnsi="Times New Roman"/>
                <w:sz w:val="28"/>
                <w:szCs w:val="28"/>
                <w:lang w:val="uk-UA"/>
              </w:rPr>
              <w:t>шем</w:t>
            </w:r>
            <w:r w:rsidR="00A14E0A">
              <w:rPr>
                <w:rFonts w:ascii="Times New Roman" w:hAnsi="Times New Roman"/>
                <w:sz w:val="28"/>
                <w:szCs w:val="28"/>
                <w:lang w:val="uk-UA"/>
              </w:rPr>
              <w:t>і</w:t>
            </w:r>
            <w:r w:rsidRPr="00A14E0A">
              <w:rPr>
                <w:rFonts w:ascii="Times New Roman" w:hAnsi="Times New Roman"/>
                <w:sz w:val="28"/>
                <w:szCs w:val="28"/>
                <w:lang w:val="uk-UA"/>
              </w:rPr>
              <w:t>ї</w:t>
            </w:r>
            <w:r w:rsidRPr="00116C15">
              <w:rPr>
                <w:rFonts w:ascii="Times New Roman" w:hAnsi="Times New Roman"/>
                <w:sz w:val="28"/>
                <w:szCs w:val="28"/>
                <w:lang w:val="uk-UA"/>
              </w:rPr>
              <w:t>по</w:t>
            </w:r>
            <w:r>
              <w:rPr>
                <w:rFonts w:ascii="Times New Roman" w:hAnsi="Times New Roman"/>
                <w:sz w:val="28"/>
                <w:szCs w:val="28"/>
                <w:lang w:val="uk-UA"/>
              </w:rPr>
              <w:t xml:space="preserve">типу внутрішньочерепного крововиливу аналогічній клінічній патології у </w:t>
            </w:r>
            <w:r w:rsidR="00012F54" w:rsidRPr="00012F54">
              <w:rPr>
                <w:rFonts w:ascii="Times New Roman" w:hAnsi="Times New Roman"/>
                <w:sz w:val="28"/>
                <w:szCs w:val="28"/>
                <w:lang w:val="uk-UA"/>
              </w:rPr>
              <w:t>людини</w:t>
            </w:r>
            <w:r w:rsidR="00A14E0A">
              <w:rPr>
                <w:rFonts w:ascii="Times New Roman" w:hAnsi="Times New Roman"/>
                <w:sz w:val="28"/>
                <w:szCs w:val="28"/>
                <w:lang w:val="uk-UA"/>
              </w:rPr>
              <w:t>………………………………………………………………………………</w:t>
            </w:r>
          </w:p>
        </w:tc>
        <w:tc>
          <w:tcPr>
            <w:tcW w:w="708" w:type="dxa"/>
          </w:tcPr>
          <w:p w:rsidR="00012F54" w:rsidRDefault="00012F54" w:rsidP="005879AB">
            <w:pPr>
              <w:suppressAutoHyphens/>
              <w:spacing w:after="0" w:line="360" w:lineRule="auto"/>
              <w:jc w:val="right"/>
              <w:rPr>
                <w:rFonts w:ascii="Times New Roman" w:hAnsi="Times New Roman"/>
                <w:sz w:val="28"/>
                <w:szCs w:val="28"/>
                <w:lang w:eastAsia="ar-SA"/>
              </w:rPr>
            </w:pPr>
          </w:p>
          <w:p w:rsidR="00A14E0A" w:rsidRPr="00012F54" w:rsidRDefault="00A14E0A" w:rsidP="005879AB">
            <w:pPr>
              <w:suppressAutoHyphens/>
              <w:spacing w:after="0" w:line="360" w:lineRule="auto"/>
              <w:jc w:val="right"/>
              <w:rPr>
                <w:rFonts w:ascii="Times New Roman" w:hAnsi="Times New Roman"/>
                <w:sz w:val="28"/>
                <w:szCs w:val="28"/>
                <w:lang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eastAsia="ar-SA"/>
              </w:rPr>
              <w:t>3</w:t>
            </w:r>
            <w:r w:rsidR="00F15182">
              <w:rPr>
                <w:rFonts w:ascii="Times New Roman" w:hAnsi="Times New Roman"/>
                <w:sz w:val="28"/>
                <w:szCs w:val="28"/>
                <w:lang w:val="uk-UA" w:eastAsia="ar-SA"/>
              </w:rPr>
              <w:t>5</w:t>
            </w:r>
          </w:p>
        </w:tc>
      </w:tr>
      <w:tr w:rsidR="00012F54" w:rsidRPr="00012F54" w:rsidTr="00012F54">
        <w:tc>
          <w:tcPr>
            <w:tcW w:w="9606" w:type="dxa"/>
          </w:tcPr>
          <w:p w:rsidR="00012F54" w:rsidRPr="00012F54" w:rsidRDefault="00012F54" w:rsidP="00B065B6">
            <w:pPr>
              <w:numPr>
                <w:ilvl w:val="1"/>
                <w:numId w:val="2"/>
              </w:numPr>
              <w:tabs>
                <w:tab w:val="left" w:pos="1164"/>
              </w:tabs>
              <w:suppressAutoHyphens/>
              <w:spacing w:after="0" w:line="360" w:lineRule="auto"/>
              <w:ind w:left="0" w:firstLine="284"/>
              <w:jc w:val="both"/>
              <w:rPr>
                <w:rFonts w:ascii="Times New Roman" w:hAnsi="Times New Roman"/>
                <w:sz w:val="28"/>
                <w:szCs w:val="28"/>
                <w:lang w:val="uk-UA"/>
              </w:rPr>
            </w:pPr>
            <w:r w:rsidRPr="00012F54">
              <w:rPr>
                <w:rStyle w:val="longtext"/>
                <w:rFonts w:ascii="Times New Roman" w:hAnsi="Times New Roman"/>
                <w:sz w:val="28"/>
                <w:szCs w:val="28"/>
                <w:lang w:val="uk-UA"/>
              </w:rPr>
              <w:t xml:space="preserve">Доцільність доклінічної оцінки блокаторів різних сайтів </w:t>
            </w:r>
            <w:r w:rsidRPr="00012F54">
              <w:rPr>
                <w:rFonts w:ascii="Times New Roman" w:hAnsi="Times New Roman"/>
                <w:sz w:val="28"/>
                <w:szCs w:val="28"/>
                <w:lang w:val="uk-UA"/>
              </w:rPr>
              <w:t>NMDA-рецепторів, як перспективних нейропротекторів при деструктивних захворюваннях мозку ішемічної та геморагічної природи</w:t>
            </w:r>
            <w:r w:rsidR="00116C15">
              <w:rPr>
                <w:rFonts w:ascii="Times New Roman" w:hAnsi="Times New Roman"/>
                <w:sz w:val="28"/>
                <w:szCs w:val="28"/>
              </w:rPr>
              <w:t>……………………</w:t>
            </w:r>
            <w:r w:rsidR="00116C15">
              <w:rPr>
                <w:rFonts w:ascii="Times New Roman" w:hAnsi="Times New Roman"/>
                <w:sz w:val="28"/>
                <w:szCs w:val="28"/>
                <w:lang w:val="uk-UA"/>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3</w:t>
            </w:r>
            <w:r w:rsidR="00F15182">
              <w:rPr>
                <w:rFonts w:ascii="Times New Roman" w:hAnsi="Times New Roman"/>
                <w:sz w:val="28"/>
                <w:szCs w:val="28"/>
                <w:lang w:val="uk-UA" w:eastAsia="ar-SA"/>
              </w:rPr>
              <w:t>7</w:t>
            </w:r>
          </w:p>
        </w:tc>
      </w:tr>
      <w:tr w:rsidR="00012F54" w:rsidRPr="00012F54" w:rsidTr="00012F54">
        <w:tc>
          <w:tcPr>
            <w:tcW w:w="9606" w:type="dxa"/>
          </w:tcPr>
          <w:p w:rsidR="00012F54" w:rsidRPr="00116C15" w:rsidRDefault="00012F54" w:rsidP="00B065B6">
            <w:pPr>
              <w:tabs>
                <w:tab w:val="left" w:pos="1164"/>
              </w:tabs>
              <w:suppressAutoHyphens/>
              <w:spacing w:after="0" w:line="360" w:lineRule="auto"/>
              <w:ind w:firstLine="284"/>
              <w:jc w:val="both"/>
              <w:rPr>
                <w:rStyle w:val="longtext"/>
                <w:rFonts w:ascii="Times New Roman" w:hAnsi="Times New Roman"/>
                <w:sz w:val="28"/>
                <w:szCs w:val="28"/>
              </w:rPr>
            </w:pPr>
            <w:r w:rsidRPr="00012F54">
              <w:rPr>
                <w:rFonts w:ascii="Times New Roman" w:hAnsi="Times New Roman"/>
                <w:sz w:val="28"/>
                <w:szCs w:val="28"/>
                <w:lang w:val="uk-UA"/>
              </w:rPr>
              <w:t>РОЗДІЛ 2</w:t>
            </w:r>
            <w:r w:rsidRPr="00012F54">
              <w:rPr>
                <w:rFonts w:ascii="Times New Roman" w:hAnsi="Times New Roman"/>
                <w:sz w:val="28"/>
                <w:szCs w:val="28"/>
              </w:rPr>
              <w:t xml:space="preserve">. </w:t>
            </w:r>
            <w:r w:rsidR="002579FF">
              <w:rPr>
                <w:rFonts w:ascii="Times New Roman" w:hAnsi="Times New Roman"/>
                <w:sz w:val="28"/>
                <w:szCs w:val="28"/>
                <w:lang w:val="uk-UA"/>
              </w:rPr>
              <w:t>МАТЕРІАЛИ,</w:t>
            </w:r>
            <w:r w:rsidRPr="00012F54">
              <w:rPr>
                <w:rFonts w:ascii="Times New Roman" w:hAnsi="Times New Roman"/>
                <w:sz w:val="28"/>
                <w:szCs w:val="28"/>
                <w:lang w:val="uk-UA"/>
              </w:rPr>
              <w:t xml:space="preserve"> МОДЕЛІ ТА МЕТОДИ ДОСЛІДЖЕННЯ</w:t>
            </w:r>
            <w:r w:rsidR="00116C15">
              <w:rPr>
                <w:rFonts w:ascii="Times New Roman" w:hAnsi="Times New Roman"/>
                <w:sz w:val="28"/>
                <w:szCs w:val="28"/>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4</w:t>
            </w:r>
            <w:r w:rsidR="00F15182">
              <w:rPr>
                <w:rFonts w:ascii="Times New Roman" w:hAnsi="Times New Roman"/>
                <w:sz w:val="28"/>
                <w:szCs w:val="28"/>
                <w:lang w:val="uk-UA" w:eastAsia="ar-SA"/>
              </w:rPr>
              <w:t>4</w:t>
            </w:r>
          </w:p>
        </w:tc>
      </w:tr>
      <w:tr w:rsidR="00012F54" w:rsidRPr="00012F54" w:rsidTr="00012F54">
        <w:tc>
          <w:tcPr>
            <w:tcW w:w="9606" w:type="dxa"/>
          </w:tcPr>
          <w:p w:rsidR="00012F54" w:rsidRPr="00116C15" w:rsidRDefault="00012F54" w:rsidP="00B065B6">
            <w:pPr>
              <w:tabs>
                <w:tab w:val="left" w:pos="1164"/>
              </w:tabs>
              <w:suppressAutoHyphen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rPr>
              <w:t xml:space="preserve">2.1. </w:t>
            </w:r>
            <w:r w:rsidRPr="00012F54">
              <w:rPr>
                <w:rFonts w:ascii="Times New Roman" w:hAnsi="Times New Roman"/>
                <w:bCs/>
                <w:sz w:val="28"/>
                <w:szCs w:val="28"/>
                <w:lang w:val="uk-UA"/>
              </w:rPr>
              <w:t>Опис дослідних тварин та умови їх утримання</w:t>
            </w:r>
            <w:r w:rsidR="00116C15">
              <w:rPr>
                <w:rFonts w:ascii="Times New Roman" w:hAnsi="Times New Roman"/>
                <w:bCs/>
                <w:sz w:val="28"/>
                <w:szCs w:val="28"/>
              </w:rPr>
              <w:t>……………………………</w:t>
            </w:r>
            <w:r w:rsidR="00116C15">
              <w:rPr>
                <w:rFonts w:ascii="Times New Roman" w:hAnsi="Times New Roman"/>
                <w:bCs/>
                <w:sz w:val="28"/>
                <w:szCs w:val="28"/>
                <w:lang w:val="uk-UA"/>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4</w:t>
            </w:r>
            <w:r w:rsidR="00F15182">
              <w:rPr>
                <w:rFonts w:ascii="Times New Roman" w:hAnsi="Times New Roman"/>
                <w:sz w:val="28"/>
                <w:szCs w:val="28"/>
                <w:lang w:val="uk-UA" w:eastAsia="ar-SA"/>
              </w:rPr>
              <w:t>4</w:t>
            </w:r>
          </w:p>
        </w:tc>
      </w:tr>
      <w:tr w:rsidR="00012F54" w:rsidRPr="00012F54" w:rsidTr="00012F54">
        <w:tc>
          <w:tcPr>
            <w:tcW w:w="9606" w:type="dxa"/>
          </w:tcPr>
          <w:p w:rsidR="00012F54" w:rsidRPr="002579FF" w:rsidRDefault="00012F54" w:rsidP="00B065B6">
            <w:pPr>
              <w:tabs>
                <w:tab w:val="left" w:pos="1164"/>
              </w:tabs>
              <w:suppressAutoHyphen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rPr>
              <w:t xml:space="preserve">2.2. </w:t>
            </w:r>
            <w:r w:rsidRPr="00012F54">
              <w:rPr>
                <w:rFonts w:ascii="Times New Roman" w:hAnsi="Times New Roman"/>
                <w:sz w:val="28"/>
                <w:szCs w:val="28"/>
                <w:lang w:val="uk-UA"/>
              </w:rPr>
              <w:t>Відтворення моделей інтракраніальноїгеморагії: відтворення субарахноїдального та внутрішньомозкового крововиливу. Методологія оцінки виживаності тварин, неврологічного статусу, мнемотр</w:t>
            </w:r>
            <w:r w:rsidR="002579FF">
              <w:rPr>
                <w:rFonts w:ascii="Times New Roman" w:hAnsi="Times New Roman"/>
                <w:sz w:val="28"/>
                <w:szCs w:val="28"/>
                <w:lang w:val="uk-UA"/>
              </w:rPr>
              <w:t xml:space="preserve">опної активності та </w:t>
            </w:r>
            <w:r w:rsidRPr="00012F54">
              <w:rPr>
                <w:rFonts w:ascii="Times New Roman" w:hAnsi="Times New Roman"/>
                <w:sz w:val="28"/>
                <w:szCs w:val="28"/>
                <w:lang w:val="uk-UA"/>
              </w:rPr>
              <w:t>показників вітальних функціональних параметрів</w:t>
            </w:r>
            <w:r w:rsidR="002579FF">
              <w:rPr>
                <w:rFonts w:ascii="Times New Roman" w:hAnsi="Times New Roman"/>
                <w:sz w:val="28"/>
                <w:szCs w:val="28"/>
                <w:lang w:val="uk-UA"/>
              </w:rPr>
              <w:t>………………</w:t>
            </w:r>
            <w:r w:rsidR="00116C15">
              <w:rPr>
                <w:rFonts w:ascii="Times New Roman" w:hAnsi="Times New Roman"/>
                <w:sz w:val="28"/>
                <w:szCs w:val="28"/>
                <w:lang w:val="uk-UA"/>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4</w:t>
            </w:r>
            <w:r w:rsidR="00F15182">
              <w:rPr>
                <w:rFonts w:ascii="Times New Roman" w:hAnsi="Times New Roman"/>
                <w:sz w:val="28"/>
                <w:szCs w:val="28"/>
                <w:lang w:val="uk-UA" w:eastAsia="ar-SA"/>
              </w:rPr>
              <w:t>7</w:t>
            </w:r>
          </w:p>
        </w:tc>
      </w:tr>
      <w:tr w:rsidR="00012F54" w:rsidRPr="00012F54" w:rsidTr="00012F54">
        <w:tc>
          <w:tcPr>
            <w:tcW w:w="9606" w:type="dxa"/>
          </w:tcPr>
          <w:p w:rsidR="00012F54" w:rsidRPr="00012F54" w:rsidRDefault="00012F54" w:rsidP="00B065B6">
            <w:pPr>
              <w:tabs>
                <w:tab w:val="left" w:pos="1164"/>
              </w:tabs>
              <w:suppressAutoHyphens/>
              <w:spacing w:after="0" w:line="360" w:lineRule="auto"/>
              <w:ind w:firstLine="284"/>
              <w:jc w:val="both"/>
              <w:rPr>
                <w:rFonts w:ascii="Times New Roman" w:hAnsi="Times New Roman"/>
                <w:sz w:val="28"/>
                <w:szCs w:val="28"/>
              </w:rPr>
            </w:pPr>
            <w:r w:rsidRPr="00012F54">
              <w:rPr>
                <w:rFonts w:ascii="Times New Roman" w:hAnsi="Times New Roman"/>
                <w:sz w:val="28"/>
                <w:szCs w:val="28"/>
              </w:rPr>
              <w:t xml:space="preserve">2.3. </w:t>
            </w:r>
            <w:r w:rsidRPr="00012F54">
              <w:rPr>
                <w:rFonts w:ascii="Times New Roman" w:eastAsia="TimesNewRomanPSMT" w:hAnsi="Times New Roman"/>
                <w:sz w:val="28"/>
                <w:szCs w:val="28"/>
                <w:lang w:val="uk-UA"/>
              </w:rPr>
              <w:t>Вибір, аналіз та обгрунтуваннядозового режиму та схем введення лікарських засобів нейропротекторної природи (адемолу та референс-</w:t>
            </w:r>
            <w:r w:rsidRPr="00012F54">
              <w:rPr>
                <w:rFonts w:ascii="Times New Roman" w:eastAsia="TimesNewRomanPSMT" w:hAnsi="Times New Roman"/>
                <w:sz w:val="28"/>
                <w:szCs w:val="28"/>
                <w:lang w:val="uk-UA"/>
              </w:rPr>
              <w:lastRenderedPageBreak/>
              <w:t>препаратів)</w:t>
            </w:r>
            <w:r w:rsidRPr="00012F54">
              <w:rPr>
                <w:rFonts w:ascii="Times New Roman" w:eastAsia="TimesNewRomanPSMT" w:hAnsi="Times New Roman"/>
                <w:sz w:val="28"/>
                <w:szCs w:val="28"/>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lastRenderedPageBreak/>
              <w:t>5</w:t>
            </w:r>
            <w:r w:rsidR="00F15182">
              <w:rPr>
                <w:rFonts w:ascii="Times New Roman" w:hAnsi="Times New Roman"/>
                <w:sz w:val="28"/>
                <w:szCs w:val="28"/>
                <w:lang w:val="uk-UA" w:eastAsia="ar-SA"/>
              </w:rPr>
              <w:t>0</w:t>
            </w:r>
          </w:p>
        </w:tc>
      </w:tr>
      <w:tr w:rsidR="00012F54" w:rsidRPr="00012F54" w:rsidTr="00012F54">
        <w:tc>
          <w:tcPr>
            <w:tcW w:w="9606" w:type="dxa"/>
          </w:tcPr>
          <w:p w:rsidR="00012F54" w:rsidRPr="00ED1F8D" w:rsidRDefault="00012F54" w:rsidP="00B065B6">
            <w:pPr>
              <w:tabs>
                <w:tab w:val="left" w:pos="1164"/>
              </w:tabs>
              <w:suppressAutoHyphen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rPr>
              <w:lastRenderedPageBreak/>
              <w:t xml:space="preserve">2.4. </w:t>
            </w:r>
            <w:r w:rsidRPr="00012F54">
              <w:rPr>
                <w:rFonts w:ascii="Times New Roman" w:hAnsi="Times New Roman"/>
                <w:sz w:val="28"/>
                <w:szCs w:val="28"/>
                <w:lang w:val="uk-UA"/>
              </w:rPr>
              <w:t>Загальна характеристика біохімічних, цитометричних та морфологічних (гістологічних) методів дослідження</w:t>
            </w:r>
            <w:r w:rsidR="00ED1F8D">
              <w:rPr>
                <w:rFonts w:ascii="Times New Roman" w:hAnsi="Times New Roman"/>
                <w:sz w:val="28"/>
                <w:szCs w:val="28"/>
              </w:rPr>
              <w:t>……</w:t>
            </w:r>
            <w:r w:rsidR="00ED1F8D">
              <w:rPr>
                <w:rFonts w:ascii="Times New Roman" w:hAnsi="Times New Roman"/>
                <w:sz w:val="28"/>
                <w:szCs w:val="28"/>
                <w:lang w:val="uk-UA"/>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5</w:t>
            </w:r>
            <w:r w:rsidR="00F15182">
              <w:rPr>
                <w:rFonts w:ascii="Times New Roman" w:hAnsi="Times New Roman"/>
                <w:sz w:val="28"/>
                <w:szCs w:val="28"/>
                <w:lang w:val="uk-UA" w:eastAsia="ar-SA"/>
              </w:rPr>
              <w:t>6</w:t>
            </w:r>
          </w:p>
        </w:tc>
      </w:tr>
      <w:tr w:rsidR="00012F54" w:rsidRPr="00012F54" w:rsidTr="00012F54">
        <w:tc>
          <w:tcPr>
            <w:tcW w:w="9606" w:type="dxa"/>
          </w:tcPr>
          <w:p w:rsidR="00012F54" w:rsidRPr="00ED1F8D" w:rsidRDefault="00012F54" w:rsidP="00B065B6">
            <w:pPr>
              <w:tabs>
                <w:tab w:val="left" w:pos="1164"/>
              </w:tabs>
              <w:suppressAutoHyphen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en-US"/>
              </w:rPr>
              <w:t xml:space="preserve">2.5. </w:t>
            </w:r>
            <w:r w:rsidRPr="00012F54">
              <w:rPr>
                <w:rFonts w:ascii="Times New Roman" w:hAnsi="Times New Roman"/>
                <w:sz w:val="28"/>
                <w:szCs w:val="28"/>
                <w:lang w:val="uk-UA"/>
              </w:rPr>
              <w:t>Методи статистичного аналізу</w:t>
            </w:r>
            <w:r w:rsidR="00ED1F8D">
              <w:rPr>
                <w:rFonts w:ascii="Times New Roman" w:hAnsi="Times New Roman"/>
                <w:sz w:val="28"/>
                <w:szCs w:val="28"/>
                <w:lang w:val="en-US"/>
              </w:rPr>
              <w:t>…………………………………………</w:t>
            </w:r>
            <w:r w:rsidR="00ED1F8D">
              <w:rPr>
                <w:rFonts w:ascii="Times New Roman" w:hAnsi="Times New Roman"/>
                <w:sz w:val="28"/>
                <w:szCs w:val="28"/>
                <w:lang w:val="uk-UA"/>
              </w:rPr>
              <w:t>…</w:t>
            </w:r>
          </w:p>
        </w:tc>
        <w:tc>
          <w:tcPr>
            <w:tcW w:w="708" w:type="dxa"/>
          </w:tcPr>
          <w:p w:rsidR="00012F54" w:rsidRPr="00012F54" w:rsidRDefault="00F15182" w:rsidP="005879AB">
            <w:pPr>
              <w:suppressAutoHyphens/>
              <w:spacing w:after="0" w:line="360" w:lineRule="auto"/>
              <w:jc w:val="right"/>
              <w:rPr>
                <w:rFonts w:ascii="Times New Roman" w:hAnsi="Times New Roman"/>
                <w:sz w:val="28"/>
                <w:szCs w:val="28"/>
                <w:lang w:val="uk-UA" w:eastAsia="ar-SA"/>
              </w:rPr>
            </w:pPr>
            <w:r>
              <w:rPr>
                <w:rFonts w:ascii="Times New Roman" w:hAnsi="Times New Roman"/>
                <w:sz w:val="28"/>
                <w:szCs w:val="28"/>
                <w:lang w:val="uk-UA" w:eastAsia="ar-SA"/>
              </w:rPr>
              <w:t>58</w:t>
            </w:r>
          </w:p>
        </w:tc>
      </w:tr>
      <w:tr w:rsidR="00012F54" w:rsidRPr="00012F54" w:rsidTr="00012F54">
        <w:tc>
          <w:tcPr>
            <w:tcW w:w="9606" w:type="dxa"/>
          </w:tcPr>
          <w:p w:rsidR="00012F54" w:rsidRPr="00012F54" w:rsidRDefault="00012F54" w:rsidP="00B065B6">
            <w:pPr>
              <w:tabs>
                <w:tab w:val="left" w:pos="1164"/>
              </w:tabs>
              <w:suppressAutoHyphens/>
              <w:spacing w:after="0" w:line="360" w:lineRule="auto"/>
              <w:ind w:firstLine="284"/>
              <w:jc w:val="both"/>
              <w:rPr>
                <w:rFonts w:ascii="Times New Roman" w:hAnsi="Times New Roman"/>
                <w:sz w:val="28"/>
                <w:szCs w:val="28"/>
              </w:rPr>
            </w:pPr>
            <w:r w:rsidRPr="00012F54">
              <w:rPr>
                <w:rFonts w:ascii="Times New Roman" w:hAnsi="Times New Roman"/>
                <w:sz w:val="28"/>
                <w:szCs w:val="28"/>
                <w:lang w:val="uk-UA"/>
              </w:rPr>
              <w:t>РОЗДІЛ 3. СКРИНІНГ ЦЕРЕБРОПРОТЕКТОРНОЇ АКТИВНОСТІ АДЕМОЛУ В УМОВАХ РІЗНИХ ПІДТИПІВ ВНУТРІШНЬОЧЕРЕПНОГО КРОВОВИЛИВУ…………………………………………………………………..</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6</w:t>
            </w:r>
            <w:r w:rsidR="00F15182">
              <w:rPr>
                <w:rFonts w:ascii="Times New Roman" w:hAnsi="Times New Roman"/>
                <w:sz w:val="28"/>
                <w:szCs w:val="28"/>
                <w:lang w:val="uk-UA" w:eastAsia="ar-SA"/>
              </w:rPr>
              <w:t>0</w:t>
            </w:r>
          </w:p>
        </w:tc>
      </w:tr>
      <w:tr w:rsidR="00012F54" w:rsidRPr="00012F54" w:rsidTr="00012F54">
        <w:tc>
          <w:tcPr>
            <w:tcW w:w="9606" w:type="dxa"/>
          </w:tcPr>
          <w:p w:rsidR="00012F54" w:rsidRPr="004F57D3" w:rsidRDefault="00012F54" w:rsidP="00B065B6">
            <w:pPr>
              <w:tabs>
                <w:tab w:val="left" w:pos="1164"/>
              </w:tabs>
              <w:suppressAutoHyphen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3.1. </w:t>
            </w:r>
            <w:r w:rsidRPr="00012F54">
              <w:rPr>
                <w:rFonts w:ascii="Times New Roman" w:hAnsi="Times New Roman"/>
                <w:sz w:val="28"/>
                <w:szCs w:val="28"/>
                <w:lang w:val="uk-UA" w:eastAsia="en-US"/>
              </w:rPr>
              <w:t>Апробація моделі субарахноїдального крововиливу у щурів, викликаного введенням у підпавутинний простір м'якої мозкової оболонки аутокрові для доклінічної оцінки потенційних церебропротекторів</w:t>
            </w:r>
            <w:r w:rsidR="004F57D3">
              <w:rPr>
                <w:rFonts w:ascii="Times New Roman" w:hAnsi="Times New Roman"/>
                <w:sz w:val="28"/>
                <w:szCs w:val="28"/>
                <w:lang w:eastAsia="en-US"/>
              </w:rPr>
              <w:t>…………</w:t>
            </w:r>
            <w:r w:rsidR="004F57D3">
              <w:rPr>
                <w:rFonts w:ascii="Times New Roman" w:hAnsi="Times New Roman"/>
                <w:sz w:val="28"/>
                <w:szCs w:val="28"/>
                <w:lang w:val="uk-UA" w:eastAsia="en-US"/>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6</w:t>
            </w:r>
            <w:r w:rsidR="00F15182">
              <w:rPr>
                <w:rFonts w:ascii="Times New Roman" w:hAnsi="Times New Roman"/>
                <w:sz w:val="28"/>
                <w:szCs w:val="28"/>
                <w:lang w:val="uk-UA" w:eastAsia="ar-SA"/>
              </w:rPr>
              <w:t>0</w:t>
            </w:r>
          </w:p>
        </w:tc>
      </w:tr>
      <w:tr w:rsidR="00012F54" w:rsidRPr="00012F54" w:rsidTr="00012F54">
        <w:tc>
          <w:tcPr>
            <w:tcW w:w="9606" w:type="dxa"/>
          </w:tcPr>
          <w:p w:rsidR="00012F54" w:rsidRPr="00012F54" w:rsidRDefault="00012F54" w:rsidP="00B065B6">
            <w:pPr>
              <w:tabs>
                <w:tab w:val="left" w:pos="1164"/>
              </w:tabs>
              <w:suppressAutoHyphens/>
              <w:spacing w:after="0" w:line="360" w:lineRule="auto"/>
              <w:ind w:firstLine="284"/>
              <w:jc w:val="both"/>
              <w:rPr>
                <w:rFonts w:ascii="Times New Roman" w:hAnsi="Times New Roman"/>
                <w:sz w:val="28"/>
                <w:szCs w:val="28"/>
              </w:rPr>
            </w:pPr>
            <w:r w:rsidRPr="00012F54">
              <w:rPr>
                <w:rFonts w:ascii="Times New Roman" w:hAnsi="Times New Roman"/>
                <w:sz w:val="28"/>
                <w:szCs w:val="28"/>
              </w:rPr>
              <w:t xml:space="preserve">3.2. </w:t>
            </w:r>
            <w:r w:rsidRPr="00012F54">
              <w:rPr>
                <w:rFonts w:ascii="Times New Roman" w:hAnsi="Times New Roman"/>
                <w:sz w:val="28"/>
                <w:szCs w:val="28"/>
                <w:lang w:val="uk-UA"/>
              </w:rPr>
              <w:t xml:space="preserve">Вплив адемолу на виживаність щурів із модельним </w:t>
            </w:r>
            <w:r w:rsidRPr="00012F54">
              <w:rPr>
                <w:rFonts w:ascii="Times New Roman" w:hAnsi="Times New Roman"/>
                <w:iCs/>
                <w:sz w:val="28"/>
                <w:szCs w:val="28"/>
                <w:lang w:val="uk-UA"/>
              </w:rPr>
              <w:t>внутрішньочерепним крововиливом</w:t>
            </w:r>
            <w:r w:rsidRPr="00012F54">
              <w:rPr>
                <w:rFonts w:ascii="Times New Roman" w:hAnsi="Times New Roman"/>
                <w:sz w:val="28"/>
                <w:szCs w:val="28"/>
                <w:lang w:val="uk-UA"/>
              </w:rPr>
              <w:t>…..</w:t>
            </w:r>
            <w:r w:rsidRPr="00012F54">
              <w:rPr>
                <w:rFonts w:ascii="Times New Roman" w:hAnsi="Times New Roman"/>
                <w:sz w:val="28"/>
                <w:szCs w:val="28"/>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en-US" w:eastAsia="ar-SA"/>
              </w:rPr>
            </w:pPr>
            <w:r w:rsidRPr="00012F54">
              <w:rPr>
                <w:rFonts w:ascii="Times New Roman" w:hAnsi="Times New Roman"/>
                <w:sz w:val="28"/>
                <w:szCs w:val="28"/>
                <w:lang w:val="uk-UA" w:eastAsia="ar-SA"/>
              </w:rPr>
              <w:t>6</w:t>
            </w:r>
            <w:r w:rsidR="00F15182">
              <w:rPr>
                <w:rFonts w:ascii="Times New Roman" w:hAnsi="Times New Roman"/>
                <w:sz w:val="28"/>
                <w:szCs w:val="28"/>
                <w:lang w:val="uk-UA" w:eastAsia="ar-SA"/>
              </w:rPr>
              <w:t>7</w:t>
            </w:r>
          </w:p>
        </w:tc>
      </w:tr>
      <w:tr w:rsidR="00012F54" w:rsidRPr="00012F54" w:rsidTr="00012F54">
        <w:tc>
          <w:tcPr>
            <w:tcW w:w="9606" w:type="dxa"/>
          </w:tcPr>
          <w:p w:rsidR="00012F54" w:rsidRPr="00012F54" w:rsidRDefault="00012F54" w:rsidP="00B065B6">
            <w:pPr>
              <w:tabs>
                <w:tab w:val="left" w:pos="1164"/>
              </w:tabs>
              <w:suppressAutoHyphens/>
              <w:spacing w:after="0" w:line="360" w:lineRule="auto"/>
              <w:ind w:firstLine="284"/>
              <w:jc w:val="both"/>
              <w:rPr>
                <w:rFonts w:ascii="Times New Roman" w:hAnsi="Times New Roman"/>
                <w:sz w:val="28"/>
                <w:szCs w:val="28"/>
              </w:rPr>
            </w:pPr>
            <w:r w:rsidRPr="00012F54">
              <w:rPr>
                <w:rFonts w:ascii="Times New Roman" w:hAnsi="Times New Roman"/>
                <w:sz w:val="28"/>
                <w:szCs w:val="28"/>
                <w:lang w:val="uk-UA"/>
              </w:rPr>
              <w:t xml:space="preserve">3.3. </w:t>
            </w:r>
            <w:r w:rsidRPr="00012F54">
              <w:rPr>
                <w:rFonts w:ascii="Times New Roman" w:hAnsi="Times New Roman"/>
                <w:iCs/>
                <w:sz w:val="28"/>
                <w:szCs w:val="28"/>
                <w:lang w:val="uk-UA"/>
              </w:rPr>
              <w:t xml:space="preserve">Дослідження неврологічного дефіциту у щурів із гострим порушенням мозкового кровообігу за геморагічним типом під впливом </w:t>
            </w:r>
            <w:r w:rsidRPr="00012F54">
              <w:rPr>
                <w:rFonts w:ascii="Times New Roman" w:hAnsi="Times New Roman"/>
                <w:sz w:val="28"/>
                <w:szCs w:val="28"/>
                <w:lang w:val="uk-UA"/>
              </w:rPr>
              <w:t xml:space="preserve">адемолу та референс-препаратів із подальшою </w:t>
            </w:r>
            <w:r w:rsidRPr="00012F54">
              <w:rPr>
                <w:rFonts w:ascii="Times New Roman" w:hAnsi="Times New Roman"/>
                <w:color w:val="000000"/>
                <w:sz w:val="28"/>
                <w:szCs w:val="28"/>
                <w:lang w:val="uk-UA"/>
              </w:rPr>
              <w:t>оцінкою його мнемотропної активності</w:t>
            </w:r>
            <w:r w:rsidR="007905BE">
              <w:rPr>
                <w:rFonts w:ascii="Times New Roman" w:hAnsi="Times New Roman"/>
                <w:color w:val="000000"/>
                <w:sz w:val="28"/>
                <w:szCs w:val="28"/>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7</w:t>
            </w:r>
            <w:r w:rsidR="00F15182">
              <w:rPr>
                <w:rFonts w:ascii="Times New Roman" w:hAnsi="Times New Roman"/>
                <w:sz w:val="28"/>
                <w:szCs w:val="28"/>
                <w:lang w:val="uk-UA" w:eastAsia="ar-SA"/>
              </w:rPr>
              <w:t>5</w:t>
            </w:r>
          </w:p>
        </w:tc>
      </w:tr>
      <w:tr w:rsidR="00012F54" w:rsidRPr="00012F54" w:rsidTr="00012F54">
        <w:tc>
          <w:tcPr>
            <w:tcW w:w="9606" w:type="dxa"/>
          </w:tcPr>
          <w:p w:rsidR="00012F54" w:rsidRPr="00012F54" w:rsidRDefault="00012F54" w:rsidP="00B065B6">
            <w:pPr>
              <w:tabs>
                <w:tab w:val="left" w:pos="1164"/>
              </w:tabs>
              <w:suppressAutoHyphens/>
              <w:spacing w:after="0" w:line="360" w:lineRule="auto"/>
              <w:ind w:firstLine="284"/>
              <w:jc w:val="both"/>
              <w:rPr>
                <w:rFonts w:ascii="Times New Roman" w:hAnsi="Times New Roman"/>
                <w:sz w:val="28"/>
                <w:szCs w:val="28"/>
              </w:rPr>
            </w:pPr>
            <w:r w:rsidRPr="00012F54">
              <w:rPr>
                <w:rFonts w:ascii="Times New Roman" w:hAnsi="Times New Roman"/>
                <w:sz w:val="28"/>
                <w:szCs w:val="28"/>
                <w:lang w:val="uk-UA"/>
              </w:rPr>
              <w:t>РОЗДІЛ 4. ОЦІНКА ЦЕРЕБРОПРОТЕКТОРНОЇ АКТИВНОСТІ АДЕМОЛУ ЗА ПОКАЗНИКАМИ ЕЛЕКРОФІЗІОЛОГІЧНИХ ТА ФУНКЦІОНАЛЬНИХ ЗМІН………………………………………………………………………………...</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8</w:t>
            </w:r>
            <w:r w:rsidR="00F15182">
              <w:rPr>
                <w:rFonts w:ascii="Times New Roman" w:hAnsi="Times New Roman"/>
                <w:sz w:val="28"/>
                <w:szCs w:val="28"/>
                <w:lang w:val="uk-UA" w:eastAsia="ar-SA"/>
              </w:rPr>
              <w:t>2</w:t>
            </w:r>
          </w:p>
        </w:tc>
      </w:tr>
      <w:tr w:rsidR="00012F54" w:rsidRPr="00012F54" w:rsidTr="00012F54">
        <w:tc>
          <w:tcPr>
            <w:tcW w:w="9606" w:type="dxa"/>
          </w:tcPr>
          <w:p w:rsidR="00012F54" w:rsidRPr="00D00D37" w:rsidRDefault="00012F54" w:rsidP="00B065B6">
            <w:pPr>
              <w:tabs>
                <w:tab w:val="left" w:pos="1164"/>
              </w:tabs>
              <w:suppressAutoHyphens/>
              <w:spacing w:after="0" w:line="360" w:lineRule="auto"/>
              <w:ind w:firstLine="284"/>
              <w:jc w:val="both"/>
              <w:rPr>
                <w:rFonts w:ascii="Times New Roman" w:hAnsi="Times New Roman"/>
                <w:sz w:val="28"/>
                <w:szCs w:val="28"/>
                <w:lang w:val="uk-UA"/>
              </w:rPr>
            </w:pPr>
            <w:r w:rsidRPr="00012F54">
              <w:rPr>
                <w:rFonts w:ascii="Times New Roman" w:hAnsi="Times New Roman"/>
                <w:iCs/>
                <w:sz w:val="28"/>
                <w:szCs w:val="28"/>
                <w:lang w:val="uk-UA"/>
              </w:rPr>
              <w:t>4.1. Динаміка змін параметру об’ємної швидкості мозкового кровотоку в центральній мозковій артерії у щурів із субарахноїдальним крововиливом на тлі інфузії розчинів адемолу або німодипіну</w:t>
            </w:r>
            <w:r w:rsidR="00D00D37">
              <w:rPr>
                <w:rFonts w:ascii="Times New Roman" w:hAnsi="Times New Roman"/>
                <w:iCs/>
                <w:sz w:val="28"/>
                <w:szCs w:val="28"/>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8</w:t>
            </w:r>
            <w:r w:rsidR="00F15182">
              <w:rPr>
                <w:rFonts w:ascii="Times New Roman" w:hAnsi="Times New Roman"/>
                <w:sz w:val="28"/>
                <w:szCs w:val="28"/>
                <w:lang w:val="uk-UA" w:eastAsia="ar-SA"/>
              </w:rPr>
              <w:t>2</w:t>
            </w:r>
          </w:p>
        </w:tc>
      </w:tr>
      <w:tr w:rsidR="00012F54" w:rsidRPr="00012F54" w:rsidTr="00012F54">
        <w:tc>
          <w:tcPr>
            <w:tcW w:w="9606" w:type="dxa"/>
          </w:tcPr>
          <w:p w:rsidR="00012F54" w:rsidRPr="00D00D37" w:rsidRDefault="00012F54" w:rsidP="00B065B6">
            <w:pPr>
              <w:tabs>
                <w:tab w:val="left" w:pos="1164"/>
              </w:tabs>
              <w:suppressAutoHyphens/>
              <w:spacing w:after="0" w:line="360" w:lineRule="auto"/>
              <w:ind w:firstLine="284"/>
              <w:jc w:val="both"/>
              <w:rPr>
                <w:rFonts w:ascii="Times New Roman" w:hAnsi="Times New Roman"/>
                <w:iCs/>
                <w:sz w:val="28"/>
                <w:szCs w:val="28"/>
                <w:lang w:val="uk-UA"/>
              </w:rPr>
            </w:pPr>
            <w:r w:rsidRPr="00012F54">
              <w:rPr>
                <w:rFonts w:ascii="Times New Roman" w:hAnsi="Times New Roman"/>
                <w:iCs/>
                <w:sz w:val="28"/>
                <w:szCs w:val="28"/>
                <w:lang w:val="uk-UA"/>
              </w:rPr>
              <w:t>4.2. Характеристика показників мікроциркуляції в капілярах кори головного мозку щурів та центральної гемодинаміки у тварин із різними підтипами внутрішньочерепного крововиливу на тлі інфузії розчинів адемолу або німодипіну</w:t>
            </w:r>
            <w:r w:rsidR="00D00D37">
              <w:rPr>
                <w:rFonts w:ascii="Times New Roman" w:hAnsi="Times New Roman"/>
                <w:iCs/>
                <w:sz w:val="28"/>
                <w:szCs w:val="28"/>
              </w:rPr>
              <w:t>……………………………………………………………………</w:t>
            </w:r>
            <w:r w:rsidR="00D00D37">
              <w:rPr>
                <w:rFonts w:ascii="Times New Roman" w:hAnsi="Times New Roman"/>
                <w:iCs/>
                <w:sz w:val="28"/>
                <w:szCs w:val="28"/>
                <w:lang w:val="uk-UA"/>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8</w:t>
            </w:r>
            <w:r w:rsidR="00F15182">
              <w:rPr>
                <w:rFonts w:ascii="Times New Roman" w:hAnsi="Times New Roman"/>
                <w:sz w:val="28"/>
                <w:szCs w:val="28"/>
                <w:lang w:val="uk-UA" w:eastAsia="ar-SA"/>
              </w:rPr>
              <w:t>4</w:t>
            </w:r>
          </w:p>
        </w:tc>
      </w:tr>
      <w:tr w:rsidR="00012F54" w:rsidRPr="00012F54" w:rsidTr="00012F54">
        <w:tc>
          <w:tcPr>
            <w:tcW w:w="9606" w:type="dxa"/>
          </w:tcPr>
          <w:p w:rsidR="00012F54" w:rsidRPr="00012F54" w:rsidRDefault="00012F54" w:rsidP="00B065B6">
            <w:pPr>
              <w:tabs>
                <w:tab w:val="left" w:pos="1164"/>
              </w:tabs>
              <w:suppressAutoHyphens/>
              <w:spacing w:after="0" w:line="360" w:lineRule="auto"/>
              <w:ind w:firstLine="284"/>
              <w:jc w:val="both"/>
              <w:rPr>
                <w:rFonts w:ascii="Times New Roman" w:hAnsi="Times New Roman"/>
                <w:iCs/>
                <w:sz w:val="28"/>
                <w:szCs w:val="28"/>
                <w:lang w:val="uk-UA"/>
              </w:rPr>
            </w:pPr>
            <w:r w:rsidRPr="00012F54">
              <w:rPr>
                <w:rFonts w:ascii="Times New Roman" w:hAnsi="Times New Roman"/>
                <w:sz w:val="28"/>
                <w:szCs w:val="28"/>
                <w:lang w:val="uk-UA"/>
              </w:rPr>
              <w:t xml:space="preserve">РОЗДІЛ 5. МОРФО-ФУНКЦІОНАЛЬНІ ЗМІНИ У ГОЛОВНОМУ МОЗКУ ЩУРІВ ІЗ ІНТРАКРАНІАЛЬНИМ КРОВОВИЛИВОМ НА ТЛІ ТЕРАПІЇ АДЕМОЛОМ ЗА ЙОГО ВПЛИВОМ НА ПРОЦЕСИ НЕЙРОЦИТОЛІЗУ, </w:t>
            </w:r>
            <w:r w:rsidRPr="00012F54">
              <w:rPr>
                <w:rFonts w:ascii="Times New Roman" w:hAnsi="Times New Roman"/>
                <w:sz w:val="28"/>
                <w:szCs w:val="28"/>
                <w:lang w:val="uk-UA"/>
              </w:rPr>
              <w:lastRenderedPageBreak/>
              <w:t>НЕЙРОАПОПТОЗУ, НЕЙРОПРОЛІФЕРАЦІЇ ………………………………….</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lastRenderedPageBreak/>
              <w:t>9</w:t>
            </w:r>
            <w:r w:rsidR="00F15182">
              <w:rPr>
                <w:rFonts w:ascii="Times New Roman" w:hAnsi="Times New Roman"/>
                <w:sz w:val="28"/>
                <w:szCs w:val="28"/>
                <w:lang w:val="uk-UA" w:eastAsia="ar-SA"/>
              </w:rPr>
              <w:t>3</w:t>
            </w:r>
          </w:p>
        </w:tc>
      </w:tr>
      <w:tr w:rsidR="00012F54" w:rsidRPr="00012F54" w:rsidTr="00012F54">
        <w:tc>
          <w:tcPr>
            <w:tcW w:w="9606" w:type="dxa"/>
          </w:tcPr>
          <w:p w:rsidR="00012F54" w:rsidRPr="00A14E0A" w:rsidRDefault="00012F54" w:rsidP="00B065B6">
            <w:pPr>
              <w:tabs>
                <w:tab w:val="left" w:pos="1164"/>
              </w:tabs>
              <w:suppressAutoHyphens/>
              <w:spacing w:after="0" w:line="360" w:lineRule="auto"/>
              <w:ind w:firstLine="284"/>
              <w:jc w:val="both"/>
              <w:rPr>
                <w:rFonts w:ascii="Times New Roman" w:hAnsi="Times New Roman"/>
                <w:sz w:val="28"/>
                <w:szCs w:val="28"/>
                <w:lang w:val="uk-UA"/>
              </w:rPr>
            </w:pPr>
            <w:r w:rsidRPr="00012F54">
              <w:rPr>
                <w:rFonts w:ascii="Times New Roman" w:hAnsi="Times New Roman"/>
                <w:iCs/>
                <w:sz w:val="28"/>
                <w:szCs w:val="28"/>
                <w:lang w:val="uk-UA"/>
              </w:rPr>
              <w:lastRenderedPageBreak/>
              <w:t>5.1. Вплив адемолу та референс-препаратів на динаміку нейроцитолізу у головному мозку щурів із внутрішньочерепним крововиливом за активністю нейрон-специфічної енолази</w:t>
            </w:r>
            <w:r w:rsidRPr="00012F54">
              <w:rPr>
                <w:rFonts w:ascii="Times New Roman" w:hAnsi="Times New Roman"/>
                <w:iCs/>
                <w:sz w:val="28"/>
                <w:szCs w:val="28"/>
              </w:rPr>
              <w:t>……………………………………………………</w:t>
            </w:r>
            <w:r w:rsidR="00A14E0A">
              <w:rPr>
                <w:rFonts w:ascii="Times New Roman" w:hAnsi="Times New Roman"/>
                <w:iCs/>
                <w:sz w:val="28"/>
                <w:szCs w:val="28"/>
                <w:lang w:val="uk-UA"/>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9</w:t>
            </w:r>
            <w:r w:rsidR="00F15182">
              <w:rPr>
                <w:rFonts w:ascii="Times New Roman" w:hAnsi="Times New Roman"/>
                <w:sz w:val="28"/>
                <w:szCs w:val="28"/>
                <w:lang w:val="uk-UA" w:eastAsia="ar-SA"/>
              </w:rPr>
              <w:t>3</w:t>
            </w:r>
          </w:p>
        </w:tc>
      </w:tr>
      <w:tr w:rsidR="00012F54" w:rsidRPr="00012F54" w:rsidTr="00012F54">
        <w:tc>
          <w:tcPr>
            <w:tcW w:w="9606" w:type="dxa"/>
          </w:tcPr>
          <w:p w:rsidR="00012F54" w:rsidRPr="00012F54" w:rsidRDefault="00012F54" w:rsidP="00B065B6">
            <w:pPr>
              <w:tabs>
                <w:tab w:val="left" w:pos="1164"/>
              </w:tabs>
              <w:suppressAutoHyphens/>
              <w:spacing w:after="0" w:line="360" w:lineRule="auto"/>
              <w:ind w:firstLine="284"/>
              <w:jc w:val="both"/>
              <w:rPr>
                <w:rFonts w:ascii="Times New Roman" w:hAnsi="Times New Roman"/>
                <w:iCs/>
                <w:sz w:val="28"/>
                <w:szCs w:val="28"/>
              </w:rPr>
            </w:pPr>
            <w:r w:rsidRPr="00012F54">
              <w:rPr>
                <w:rFonts w:ascii="Times New Roman" w:hAnsi="Times New Roman"/>
                <w:iCs/>
                <w:sz w:val="28"/>
                <w:szCs w:val="28"/>
              </w:rPr>
              <w:t xml:space="preserve">5.2. </w:t>
            </w:r>
            <w:r w:rsidRPr="00012F54">
              <w:rPr>
                <w:rFonts w:ascii="Times New Roman" w:hAnsi="Times New Roman"/>
                <w:iCs/>
                <w:sz w:val="28"/>
                <w:szCs w:val="28"/>
                <w:lang w:val="uk-UA"/>
              </w:rPr>
              <w:t>Інтенсивність нейроапоптозу при експериментальному внутрішньомозковому крововиливі на тлі терапії адемолом</w:t>
            </w:r>
            <w:r w:rsidR="00FA2B2E">
              <w:rPr>
                <w:rFonts w:ascii="Times New Roman" w:hAnsi="Times New Roman"/>
                <w:iCs/>
                <w:sz w:val="28"/>
                <w:szCs w:val="28"/>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9</w:t>
            </w:r>
            <w:r w:rsidR="00F15182">
              <w:rPr>
                <w:rFonts w:ascii="Times New Roman" w:hAnsi="Times New Roman"/>
                <w:sz w:val="28"/>
                <w:szCs w:val="28"/>
                <w:lang w:val="uk-UA" w:eastAsia="ar-SA"/>
              </w:rPr>
              <w:t>6</w:t>
            </w:r>
          </w:p>
        </w:tc>
      </w:tr>
      <w:tr w:rsidR="00012F54" w:rsidRPr="00012F54" w:rsidTr="00012F54">
        <w:tc>
          <w:tcPr>
            <w:tcW w:w="9606" w:type="dxa"/>
          </w:tcPr>
          <w:p w:rsidR="00012F54" w:rsidRPr="00A14E0A" w:rsidRDefault="00012F54" w:rsidP="00B065B6">
            <w:pPr>
              <w:tabs>
                <w:tab w:val="left" w:pos="1164"/>
              </w:tabs>
              <w:suppressAutoHyphens/>
              <w:spacing w:after="0" w:line="360" w:lineRule="auto"/>
              <w:ind w:firstLine="284"/>
              <w:jc w:val="both"/>
              <w:rPr>
                <w:rFonts w:ascii="Times New Roman" w:hAnsi="Times New Roman"/>
                <w:iCs/>
                <w:sz w:val="28"/>
                <w:szCs w:val="28"/>
                <w:lang w:val="uk-UA"/>
              </w:rPr>
            </w:pPr>
            <w:r w:rsidRPr="00012F54">
              <w:rPr>
                <w:rFonts w:ascii="Times New Roman" w:hAnsi="Times New Roman"/>
                <w:iCs/>
                <w:sz w:val="28"/>
                <w:szCs w:val="28"/>
              </w:rPr>
              <w:t xml:space="preserve">5.3. </w:t>
            </w:r>
            <w:r w:rsidRPr="00012F54">
              <w:rPr>
                <w:rFonts w:ascii="Times New Roman" w:hAnsi="Times New Roman"/>
                <w:iCs/>
                <w:sz w:val="28"/>
                <w:szCs w:val="28"/>
                <w:lang w:val="uk-UA"/>
              </w:rPr>
              <w:t>Дія адемолу та референс-препаратів на активність нейропроліферативних процесів у головному мозку щурів із внутрішньомозковим крововиливом за рівнем білка S100 та даними протоково-цитометричного аналізу</w:t>
            </w:r>
            <w:r w:rsidR="00A14E0A">
              <w:rPr>
                <w:rFonts w:ascii="Times New Roman" w:hAnsi="Times New Roman"/>
                <w:iCs/>
                <w:sz w:val="28"/>
                <w:szCs w:val="28"/>
                <w:lang w:val="uk-UA"/>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10</w:t>
            </w:r>
            <w:r w:rsidR="009035B8">
              <w:rPr>
                <w:rFonts w:ascii="Times New Roman" w:hAnsi="Times New Roman"/>
                <w:sz w:val="28"/>
                <w:szCs w:val="28"/>
                <w:lang w:val="uk-UA" w:eastAsia="ar-SA"/>
              </w:rPr>
              <w:t>0</w:t>
            </w:r>
          </w:p>
        </w:tc>
      </w:tr>
      <w:tr w:rsidR="00012F54" w:rsidRPr="00012F54" w:rsidTr="00012F54">
        <w:tc>
          <w:tcPr>
            <w:tcW w:w="9606" w:type="dxa"/>
          </w:tcPr>
          <w:p w:rsidR="00012F54" w:rsidRPr="00FA2B2E" w:rsidRDefault="00BC4025" w:rsidP="00B065B6">
            <w:pPr>
              <w:tabs>
                <w:tab w:val="left" w:pos="1164"/>
              </w:tabs>
              <w:suppressAutoHyphens/>
              <w:spacing w:after="0" w:line="360" w:lineRule="auto"/>
              <w:ind w:firstLine="284"/>
              <w:jc w:val="both"/>
              <w:rPr>
                <w:rFonts w:ascii="Times New Roman" w:hAnsi="Times New Roman"/>
                <w:iCs/>
                <w:sz w:val="28"/>
                <w:szCs w:val="28"/>
                <w:lang w:val="uk-UA"/>
              </w:rPr>
            </w:pPr>
            <w:r>
              <w:rPr>
                <w:rFonts w:ascii="Times New Roman" w:hAnsi="Times New Roman"/>
                <w:iCs/>
                <w:sz w:val="28"/>
                <w:szCs w:val="28"/>
              </w:rPr>
              <w:t>5.4.</w:t>
            </w:r>
            <w:r>
              <w:rPr>
                <w:rFonts w:ascii="Times New Roman" w:hAnsi="Times New Roman"/>
                <w:iCs/>
                <w:sz w:val="28"/>
                <w:szCs w:val="28"/>
                <w:lang w:val="uk-UA"/>
              </w:rPr>
              <w:t xml:space="preserve"> Оцінка впливу </w:t>
            </w:r>
            <w:r w:rsidR="00012F54" w:rsidRPr="00012F54">
              <w:rPr>
                <w:rFonts w:ascii="Times New Roman" w:hAnsi="Times New Roman"/>
                <w:iCs/>
                <w:sz w:val="28"/>
                <w:szCs w:val="28"/>
                <w:lang w:val="uk-UA"/>
              </w:rPr>
              <w:t>адемолу</w:t>
            </w:r>
            <w:r>
              <w:rPr>
                <w:rFonts w:ascii="Times New Roman" w:hAnsi="Times New Roman"/>
                <w:iCs/>
                <w:sz w:val="28"/>
                <w:szCs w:val="28"/>
                <w:lang w:val="uk-UA"/>
              </w:rPr>
              <w:t xml:space="preserve"> на морфо-деструктивні зміни у головному мозку щурів з </w:t>
            </w:r>
            <w:r w:rsidR="00012F54" w:rsidRPr="00012F54">
              <w:rPr>
                <w:rFonts w:ascii="Times New Roman" w:hAnsi="Times New Roman"/>
                <w:iCs/>
                <w:sz w:val="28"/>
                <w:szCs w:val="28"/>
                <w:lang w:val="uk-UA"/>
              </w:rPr>
              <w:t>інтракра</w:t>
            </w:r>
            <w:r>
              <w:rPr>
                <w:rFonts w:ascii="Times New Roman" w:hAnsi="Times New Roman"/>
                <w:iCs/>
                <w:sz w:val="28"/>
                <w:szCs w:val="28"/>
                <w:lang w:val="uk-UA"/>
              </w:rPr>
              <w:t xml:space="preserve">ніальним крововиливом за даними </w:t>
            </w:r>
            <w:r w:rsidR="00012F54" w:rsidRPr="00012F54">
              <w:rPr>
                <w:rFonts w:ascii="Times New Roman" w:hAnsi="Times New Roman"/>
                <w:iCs/>
                <w:sz w:val="28"/>
                <w:szCs w:val="28"/>
                <w:lang w:val="uk-UA"/>
              </w:rPr>
              <w:t>світлової мікроскопії</w:t>
            </w:r>
            <w:r w:rsidR="004D5D31">
              <w:rPr>
                <w:rFonts w:ascii="Times New Roman" w:hAnsi="Times New Roman"/>
                <w:iCs/>
                <w:sz w:val="28"/>
                <w:szCs w:val="28"/>
                <w:lang w:val="uk-UA"/>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Default="00012F54" w:rsidP="005879AB">
            <w:pPr>
              <w:suppressAutoHyphens/>
              <w:spacing w:after="0" w:line="360" w:lineRule="auto"/>
              <w:jc w:val="right"/>
              <w:rPr>
                <w:rFonts w:ascii="Times New Roman" w:hAnsi="Times New Roman"/>
                <w:sz w:val="28"/>
                <w:szCs w:val="28"/>
                <w:lang w:val="uk-UA" w:eastAsia="ar-SA"/>
              </w:rPr>
            </w:pPr>
          </w:p>
          <w:p w:rsidR="004D5D31" w:rsidRPr="00012F54" w:rsidRDefault="004D5D31" w:rsidP="005879AB">
            <w:pPr>
              <w:suppressAutoHyphens/>
              <w:spacing w:after="0" w:line="360" w:lineRule="auto"/>
              <w:jc w:val="right"/>
              <w:rPr>
                <w:rFonts w:ascii="Times New Roman" w:hAnsi="Times New Roman"/>
                <w:sz w:val="28"/>
                <w:szCs w:val="28"/>
                <w:lang w:val="uk-UA" w:eastAsia="ar-SA"/>
              </w:rPr>
            </w:pPr>
            <w:r>
              <w:rPr>
                <w:rFonts w:ascii="Times New Roman" w:hAnsi="Times New Roman"/>
                <w:sz w:val="28"/>
                <w:szCs w:val="28"/>
                <w:lang w:val="uk-UA" w:eastAsia="ar-SA"/>
              </w:rPr>
              <w:t>10</w:t>
            </w:r>
            <w:r w:rsidR="00F15182">
              <w:rPr>
                <w:rFonts w:ascii="Times New Roman" w:hAnsi="Times New Roman"/>
                <w:sz w:val="28"/>
                <w:szCs w:val="28"/>
                <w:lang w:val="uk-UA" w:eastAsia="ar-SA"/>
              </w:rPr>
              <w:t>3</w:t>
            </w:r>
          </w:p>
        </w:tc>
      </w:tr>
      <w:tr w:rsidR="00012F54" w:rsidRPr="00012F54" w:rsidTr="00012F54">
        <w:tc>
          <w:tcPr>
            <w:tcW w:w="9606" w:type="dxa"/>
          </w:tcPr>
          <w:p w:rsidR="00012F54" w:rsidRPr="00012F54" w:rsidRDefault="00012F54" w:rsidP="00B065B6">
            <w:pPr>
              <w:tabs>
                <w:tab w:val="left" w:pos="1164"/>
              </w:tabs>
              <w:suppressAutoHyphens/>
              <w:spacing w:after="0" w:line="360" w:lineRule="auto"/>
              <w:ind w:firstLine="284"/>
              <w:jc w:val="both"/>
              <w:rPr>
                <w:rFonts w:ascii="Times New Roman" w:hAnsi="Times New Roman"/>
                <w:sz w:val="28"/>
                <w:szCs w:val="28"/>
              </w:rPr>
            </w:pPr>
            <w:r w:rsidRPr="00012F54">
              <w:rPr>
                <w:rFonts w:ascii="Times New Roman" w:hAnsi="Times New Roman"/>
                <w:sz w:val="28"/>
                <w:szCs w:val="28"/>
                <w:lang w:val="uk-UA"/>
              </w:rPr>
              <w:t>РОЗДІЛ 6. ДОСЛІДЖЕННЯ ВНУТРІШНЬОНЕЙРОНАЛЬНИХ МЕТАБОЛІЧНИХ ПРОЦЕСІВ НА ТЛІ ТЕРАПІЇ АДЕМОЛОМ</w:t>
            </w:r>
            <w:r w:rsidR="00B94101">
              <w:rPr>
                <w:rFonts w:ascii="Times New Roman" w:hAnsi="Times New Roman"/>
                <w:sz w:val="28"/>
                <w:szCs w:val="28"/>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11</w:t>
            </w:r>
            <w:r w:rsidR="009035B8">
              <w:rPr>
                <w:rFonts w:ascii="Times New Roman" w:hAnsi="Times New Roman"/>
                <w:sz w:val="28"/>
                <w:szCs w:val="28"/>
                <w:lang w:val="uk-UA" w:eastAsia="ar-SA"/>
              </w:rPr>
              <w:t>0</w:t>
            </w:r>
          </w:p>
        </w:tc>
      </w:tr>
      <w:tr w:rsidR="00012F54" w:rsidRPr="00012F54" w:rsidTr="00012F54">
        <w:tc>
          <w:tcPr>
            <w:tcW w:w="9606" w:type="dxa"/>
          </w:tcPr>
          <w:p w:rsidR="00012F54" w:rsidRPr="00012F54" w:rsidRDefault="004D5D31" w:rsidP="00B065B6">
            <w:pPr>
              <w:tabs>
                <w:tab w:val="left" w:pos="1164"/>
              </w:tabs>
              <w:suppressAutoHyphens/>
              <w:spacing w:after="0" w:line="360" w:lineRule="auto"/>
              <w:ind w:firstLine="284"/>
              <w:jc w:val="both"/>
              <w:rPr>
                <w:rFonts w:ascii="Times New Roman" w:hAnsi="Times New Roman"/>
                <w:sz w:val="28"/>
                <w:szCs w:val="28"/>
              </w:rPr>
            </w:pPr>
            <w:r>
              <w:rPr>
                <w:rFonts w:ascii="Times New Roman" w:hAnsi="Times New Roman"/>
                <w:sz w:val="28"/>
                <w:szCs w:val="28"/>
                <w:lang w:val="uk-UA"/>
              </w:rPr>
              <w:t xml:space="preserve">6.1. Зміни </w:t>
            </w:r>
            <w:r w:rsidR="00012F54" w:rsidRPr="00012F54">
              <w:rPr>
                <w:rFonts w:ascii="Times New Roman" w:hAnsi="Times New Roman"/>
                <w:sz w:val="28"/>
                <w:szCs w:val="28"/>
                <w:lang w:val="uk-UA" w:eastAsia="uk-UA"/>
              </w:rPr>
              <w:t>пулу макроергів та інтермедіатів вуглеводного обміну в головному мозку щурів із субарахноїдальним крововиливом</w:t>
            </w:r>
            <w:r>
              <w:rPr>
                <w:rFonts w:ascii="Times New Roman" w:hAnsi="Times New Roman"/>
                <w:sz w:val="28"/>
                <w:szCs w:val="28"/>
                <w:lang w:val="uk-UA"/>
              </w:rPr>
              <w:t xml:space="preserve"> при </w:t>
            </w:r>
            <w:r w:rsidR="00012F54" w:rsidRPr="00012F54">
              <w:rPr>
                <w:rFonts w:ascii="Times New Roman" w:hAnsi="Times New Roman"/>
                <w:sz w:val="28"/>
                <w:szCs w:val="28"/>
                <w:lang w:val="uk-UA"/>
              </w:rPr>
              <w:t>терапії адемолом</w:t>
            </w:r>
            <w:r>
              <w:rPr>
                <w:rFonts w:ascii="Times New Roman" w:hAnsi="Times New Roman"/>
                <w:sz w:val="28"/>
                <w:szCs w:val="28"/>
                <w:lang w:val="uk-UA"/>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Default="00012F54" w:rsidP="005879AB">
            <w:pPr>
              <w:suppressAutoHyphens/>
              <w:spacing w:after="0" w:line="360" w:lineRule="auto"/>
              <w:jc w:val="right"/>
              <w:rPr>
                <w:rFonts w:ascii="Times New Roman" w:hAnsi="Times New Roman"/>
                <w:sz w:val="28"/>
                <w:szCs w:val="28"/>
                <w:lang w:val="uk-UA" w:eastAsia="ar-SA"/>
              </w:rPr>
            </w:pPr>
          </w:p>
          <w:p w:rsidR="004D5D31" w:rsidRPr="00012F54" w:rsidRDefault="004D5D31" w:rsidP="005879AB">
            <w:pPr>
              <w:suppressAutoHyphens/>
              <w:spacing w:after="0" w:line="360" w:lineRule="auto"/>
              <w:jc w:val="right"/>
              <w:rPr>
                <w:rFonts w:ascii="Times New Roman" w:hAnsi="Times New Roman"/>
                <w:sz w:val="28"/>
                <w:szCs w:val="28"/>
                <w:lang w:val="uk-UA" w:eastAsia="ar-SA"/>
              </w:rPr>
            </w:pPr>
            <w:r>
              <w:rPr>
                <w:rFonts w:ascii="Times New Roman" w:hAnsi="Times New Roman"/>
                <w:sz w:val="28"/>
                <w:szCs w:val="28"/>
                <w:lang w:val="uk-UA" w:eastAsia="ar-SA"/>
              </w:rPr>
              <w:t>11</w:t>
            </w:r>
            <w:r w:rsidR="009035B8">
              <w:rPr>
                <w:rFonts w:ascii="Times New Roman" w:hAnsi="Times New Roman"/>
                <w:sz w:val="28"/>
                <w:szCs w:val="28"/>
                <w:lang w:val="uk-UA" w:eastAsia="ar-SA"/>
              </w:rPr>
              <w:t>0</w:t>
            </w:r>
          </w:p>
        </w:tc>
      </w:tr>
      <w:tr w:rsidR="00012F54" w:rsidRPr="00012F54" w:rsidTr="00012F54">
        <w:tc>
          <w:tcPr>
            <w:tcW w:w="9606" w:type="dxa"/>
          </w:tcPr>
          <w:p w:rsidR="00012F54" w:rsidRPr="004D5D31" w:rsidRDefault="00012F54" w:rsidP="00B065B6">
            <w:pPr>
              <w:tabs>
                <w:tab w:val="left" w:pos="1164"/>
              </w:tabs>
              <w:suppressAutoHyphen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rPr>
              <w:t xml:space="preserve">6.2. </w:t>
            </w:r>
            <w:r w:rsidRPr="00012F54">
              <w:rPr>
                <w:rFonts w:ascii="Times New Roman" w:hAnsi="Times New Roman"/>
                <w:sz w:val="28"/>
                <w:szCs w:val="28"/>
                <w:lang w:val="uk-UA"/>
              </w:rPr>
              <w:t xml:space="preserve">Вплив адемолу на перебіг оксидативного стресу та </w:t>
            </w:r>
            <w:r w:rsidRPr="00012F54">
              <w:rPr>
                <w:rFonts w:ascii="Times New Roman" w:hAnsi="Times New Roman"/>
                <w:sz w:val="28"/>
                <w:szCs w:val="28"/>
                <w:lang w:val="uk-UA" w:eastAsia="uk-UA"/>
              </w:rPr>
              <w:t>обмін монооксиду азоту в головному мозку щурів із субарахноїдальним крововиливом</w:t>
            </w:r>
            <w:r w:rsidR="004D5D31">
              <w:rPr>
                <w:rFonts w:ascii="Times New Roman" w:hAnsi="Times New Roman"/>
                <w:sz w:val="28"/>
                <w:szCs w:val="28"/>
                <w:lang w:eastAsia="uk-UA"/>
              </w:rPr>
              <w:t xml:space="preserve"> …</w:t>
            </w:r>
            <w:r w:rsidR="004D5D31">
              <w:rPr>
                <w:rFonts w:ascii="Times New Roman" w:hAnsi="Times New Roman"/>
                <w:sz w:val="28"/>
                <w:szCs w:val="28"/>
                <w:lang w:val="uk-UA" w:eastAsia="uk-UA"/>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11</w:t>
            </w:r>
            <w:r w:rsidR="009035B8">
              <w:rPr>
                <w:rFonts w:ascii="Times New Roman" w:hAnsi="Times New Roman"/>
                <w:sz w:val="28"/>
                <w:szCs w:val="28"/>
                <w:lang w:val="uk-UA" w:eastAsia="ar-SA"/>
              </w:rPr>
              <w:t>4</w:t>
            </w:r>
          </w:p>
        </w:tc>
      </w:tr>
      <w:tr w:rsidR="00012F54" w:rsidRPr="00012F54" w:rsidTr="00012F54">
        <w:tc>
          <w:tcPr>
            <w:tcW w:w="9606" w:type="dxa"/>
          </w:tcPr>
          <w:p w:rsidR="00012F54" w:rsidRPr="004D5D31" w:rsidRDefault="00012F54" w:rsidP="00B065B6">
            <w:pPr>
              <w:tabs>
                <w:tab w:val="left" w:pos="1164"/>
              </w:tabs>
              <w:suppressAutoHyphen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rPr>
              <w:t xml:space="preserve">6.3. </w:t>
            </w:r>
            <w:r w:rsidRPr="00012F54">
              <w:rPr>
                <w:rFonts w:ascii="Times New Roman" w:hAnsi="Times New Roman"/>
                <w:sz w:val="28"/>
                <w:szCs w:val="28"/>
                <w:lang w:val="uk-UA"/>
              </w:rPr>
              <w:t>Вплив адемолу та референс-препаратів на формування глутаматної та стероїдної нейротоксичності у</w:t>
            </w:r>
            <w:r w:rsidRPr="00012F54">
              <w:rPr>
                <w:rFonts w:ascii="Times New Roman" w:hAnsi="Times New Roman"/>
                <w:bCs/>
                <w:sz w:val="28"/>
                <w:szCs w:val="28"/>
                <w:lang w:val="uk-UA"/>
              </w:rPr>
              <w:t xml:space="preserve"> щурів із внутрішньомозковим крововиливом</w:t>
            </w:r>
            <w:r w:rsidRPr="00012F54">
              <w:rPr>
                <w:rFonts w:ascii="Times New Roman" w:hAnsi="Times New Roman"/>
                <w:bCs/>
                <w:sz w:val="28"/>
                <w:szCs w:val="28"/>
              </w:rPr>
              <w:t>…………………………………………</w:t>
            </w:r>
            <w:r w:rsidR="004D5D31">
              <w:rPr>
                <w:rFonts w:ascii="Times New Roman" w:hAnsi="Times New Roman"/>
                <w:bCs/>
                <w:sz w:val="28"/>
                <w:szCs w:val="28"/>
              </w:rPr>
              <w:t>…</w:t>
            </w:r>
            <w:r w:rsidR="004D5D31">
              <w:rPr>
                <w:rFonts w:ascii="Times New Roman" w:hAnsi="Times New Roman"/>
                <w:bCs/>
                <w:sz w:val="28"/>
                <w:szCs w:val="28"/>
                <w:lang w:val="uk-UA"/>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p>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12</w:t>
            </w:r>
            <w:r w:rsidR="009035B8">
              <w:rPr>
                <w:rFonts w:ascii="Times New Roman" w:hAnsi="Times New Roman"/>
                <w:sz w:val="28"/>
                <w:szCs w:val="28"/>
                <w:lang w:val="uk-UA" w:eastAsia="ar-SA"/>
              </w:rPr>
              <w:t>0</w:t>
            </w:r>
          </w:p>
        </w:tc>
      </w:tr>
      <w:tr w:rsidR="00012F54" w:rsidRPr="00012F54" w:rsidTr="00012F54">
        <w:tc>
          <w:tcPr>
            <w:tcW w:w="9606" w:type="dxa"/>
          </w:tcPr>
          <w:p w:rsidR="00012F54" w:rsidRPr="00012F54" w:rsidRDefault="00012F54" w:rsidP="00B065B6">
            <w:pPr>
              <w:tabs>
                <w:tab w:val="left" w:pos="1164"/>
              </w:tabs>
              <w:suppressAutoHyphens/>
              <w:spacing w:after="0" w:line="360" w:lineRule="auto"/>
              <w:ind w:firstLine="284"/>
              <w:jc w:val="both"/>
              <w:rPr>
                <w:rFonts w:ascii="Times New Roman" w:hAnsi="Times New Roman"/>
                <w:sz w:val="28"/>
                <w:szCs w:val="28"/>
              </w:rPr>
            </w:pPr>
            <w:r w:rsidRPr="00012F54">
              <w:rPr>
                <w:rFonts w:ascii="Times New Roman" w:hAnsi="Times New Roman"/>
                <w:sz w:val="28"/>
                <w:szCs w:val="28"/>
                <w:lang w:val="uk-UA"/>
              </w:rPr>
              <w:t>РОЗДІЛ 7. АНАЛІЗ ТА УЗАГАЛЬНЕННЯ РЕЗУЛЬТАТІВ ДОСЛІДЖЕННЯ</w:t>
            </w:r>
            <w:r w:rsidR="004D5D31">
              <w:rPr>
                <w:rFonts w:ascii="Times New Roman" w:hAnsi="Times New Roman"/>
                <w:sz w:val="28"/>
                <w:szCs w:val="28"/>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12</w:t>
            </w:r>
            <w:r w:rsidR="009035B8">
              <w:rPr>
                <w:rFonts w:ascii="Times New Roman" w:hAnsi="Times New Roman"/>
                <w:sz w:val="28"/>
                <w:szCs w:val="28"/>
                <w:lang w:val="uk-UA" w:eastAsia="ar-SA"/>
              </w:rPr>
              <w:t>6</w:t>
            </w:r>
          </w:p>
        </w:tc>
      </w:tr>
      <w:tr w:rsidR="00012F54" w:rsidRPr="00012F54" w:rsidTr="00012F54">
        <w:tc>
          <w:tcPr>
            <w:tcW w:w="9606" w:type="dxa"/>
          </w:tcPr>
          <w:p w:rsidR="00012F54" w:rsidRPr="00012F54" w:rsidRDefault="00012F54" w:rsidP="00B065B6">
            <w:pPr>
              <w:tabs>
                <w:tab w:val="left" w:pos="1164"/>
              </w:tabs>
              <w:suppressAutoHyphens/>
              <w:spacing w:after="0" w:line="360" w:lineRule="auto"/>
              <w:ind w:firstLine="284"/>
              <w:jc w:val="both"/>
              <w:rPr>
                <w:rFonts w:ascii="Times New Roman" w:hAnsi="Times New Roman"/>
                <w:sz w:val="28"/>
                <w:szCs w:val="28"/>
                <w:lang w:val="en-US"/>
              </w:rPr>
            </w:pPr>
            <w:r w:rsidRPr="00012F54">
              <w:rPr>
                <w:rFonts w:ascii="Times New Roman" w:hAnsi="Times New Roman"/>
                <w:sz w:val="28"/>
                <w:szCs w:val="28"/>
                <w:lang w:val="uk-UA"/>
              </w:rPr>
              <w:t>ВИСНОВКИ</w:t>
            </w:r>
            <w:r w:rsidRPr="00012F54">
              <w:rPr>
                <w:rFonts w:ascii="Times New Roman" w:hAnsi="Times New Roman"/>
                <w:sz w:val="28"/>
                <w:szCs w:val="28"/>
                <w:lang w:val="en-US"/>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uk-UA" w:eastAsia="ar-SA"/>
              </w:rPr>
              <w:t>14</w:t>
            </w:r>
            <w:r w:rsidR="009035B8">
              <w:rPr>
                <w:rFonts w:ascii="Times New Roman" w:hAnsi="Times New Roman"/>
                <w:sz w:val="28"/>
                <w:szCs w:val="28"/>
                <w:lang w:val="uk-UA" w:eastAsia="ar-SA"/>
              </w:rPr>
              <w:t>2</w:t>
            </w:r>
          </w:p>
        </w:tc>
      </w:tr>
      <w:tr w:rsidR="00012F54" w:rsidRPr="00012F54" w:rsidTr="00012F54">
        <w:tc>
          <w:tcPr>
            <w:tcW w:w="9606" w:type="dxa"/>
          </w:tcPr>
          <w:p w:rsidR="00012F54" w:rsidRPr="00012F54" w:rsidRDefault="00012F54" w:rsidP="00B065B6">
            <w:pPr>
              <w:tabs>
                <w:tab w:val="left" w:pos="1164"/>
              </w:tabs>
              <w:suppressAutoHyphens/>
              <w:spacing w:after="0" w:line="360" w:lineRule="auto"/>
              <w:ind w:firstLine="284"/>
              <w:jc w:val="both"/>
              <w:rPr>
                <w:rFonts w:ascii="Times New Roman" w:hAnsi="Times New Roman"/>
                <w:sz w:val="28"/>
                <w:szCs w:val="28"/>
                <w:lang w:val="en-US"/>
              </w:rPr>
            </w:pPr>
            <w:r w:rsidRPr="00012F54">
              <w:rPr>
                <w:rFonts w:ascii="Times New Roman" w:hAnsi="Times New Roman"/>
                <w:sz w:val="28"/>
                <w:szCs w:val="28"/>
                <w:lang w:val="uk-UA"/>
              </w:rPr>
              <w:t>СПИСОК ВИКОРИСТАНИХ ДЖЕРЕЛ</w:t>
            </w:r>
            <w:r w:rsidR="004D5D31">
              <w:rPr>
                <w:rFonts w:ascii="Times New Roman" w:hAnsi="Times New Roman"/>
                <w:sz w:val="28"/>
                <w:szCs w:val="28"/>
                <w:lang w:val="en-US"/>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en-US" w:eastAsia="ar-SA"/>
              </w:rPr>
              <w:t>14</w:t>
            </w:r>
            <w:r w:rsidR="009035B8">
              <w:rPr>
                <w:rFonts w:ascii="Times New Roman" w:hAnsi="Times New Roman"/>
                <w:sz w:val="28"/>
                <w:szCs w:val="28"/>
                <w:lang w:val="uk-UA" w:eastAsia="ar-SA"/>
              </w:rPr>
              <w:t>5</w:t>
            </w:r>
          </w:p>
        </w:tc>
      </w:tr>
      <w:tr w:rsidR="00012F54" w:rsidRPr="00012F54" w:rsidTr="00012F54">
        <w:tc>
          <w:tcPr>
            <w:tcW w:w="9606" w:type="dxa"/>
          </w:tcPr>
          <w:p w:rsidR="00012F54" w:rsidRPr="00012F54" w:rsidRDefault="00012F54" w:rsidP="00B065B6">
            <w:pPr>
              <w:tabs>
                <w:tab w:val="left" w:pos="1164"/>
              </w:tabs>
              <w:suppressAutoHyphens/>
              <w:spacing w:after="0" w:line="360" w:lineRule="auto"/>
              <w:ind w:firstLine="284"/>
              <w:jc w:val="both"/>
              <w:rPr>
                <w:rFonts w:ascii="Times New Roman" w:hAnsi="Times New Roman"/>
                <w:sz w:val="28"/>
                <w:szCs w:val="28"/>
                <w:lang w:val="en-US"/>
              </w:rPr>
            </w:pPr>
            <w:r w:rsidRPr="00012F54">
              <w:rPr>
                <w:rFonts w:ascii="Times New Roman" w:hAnsi="Times New Roman"/>
                <w:sz w:val="28"/>
                <w:szCs w:val="28"/>
                <w:lang w:val="uk-UA"/>
              </w:rPr>
              <w:t>ДОДАТКИ</w:t>
            </w:r>
            <w:r w:rsidRPr="00012F54">
              <w:rPr>
                <w:rFonts w:ascii="Times New Roman" w:hAnsi="Times New Roman"/>
                <w:sz w:val="28"/>
                <w:szCs w:val="28"/>
                <w:lang w:val="en-US"/>
              </w:rPr>
              <w:t>………………………………………………………………………</w:t>
            </w:r>
          </w:p>
        </w:tc>
        <w:tc>
          <w:tcPr>
            <w:tcW w:w="708" w:type="dxa"/>
          </w:tcPr>
          <w:p w:rsidR="00012F54" w:rsidRPr="00012F54" w:rsidRDefault="00012F54" w:rsidP="005879AB">
            <w:pPr>
              <w:suppressAutoHyphens/>
              <w:spacing w:after="0" w:line="360" w:lineRule="auto"/>
              <w:jc w:val="right"/>
              <w:rPr>
                <w:rFonts w:ascii="Times New Roman" w:hAnsi="Times New Roman"/>
                <w:sz w:val="28"/>
                <w:szCs w:val="28"/>
                <w:lang w:val="uk-UA" w:eastAsia="ar-SA"/>
              </w:rPr>
            </w:pPr>
            <w:r w:rsidRPr="00012F54">
              <w:rPr>
                <w:rFonts w:ascii="Times New Roman" w:hAnsi="Times New Roman"/>
                <w:sz w:val="28"/>
                <w:szCs w:val="28"/>
                <w:lang w:val="en-US" w:eastAsia="ar-SA"/>
              </w:rPr>
              <w:t>1</w:t>
            </w:r>
            <w:r w:rsidRPr="00012F54">
              <w:rPr>
                <w:rFonts w:ascii="Times New Roman" w:hAnsi="Times New Roman"/>
                <w:sz w:val="28"/>
                <w:szCs w:val="28"/>
                <w:lang w:val="uk-UA" w:eastAsia="ar-SA"/>
              </w:rPr>
              <w:t>65</w:t>
            </w:r>
          </w:p>
        </w:tc>
      </w:tr>
    </w:tbl>
    <w:p w:rsidR="00012F54" w:rsidRPr="00012F54" w:rsidRDefault="00012F54" w:rsidP="00B065B6">
      <w:pPr>
        <w:ind w:firstLine="284"/>
        <w:rPr>
          <w:rFonts w:ascii="Times New Roman" w:hAnsi="Times New Roman"/>
        </w:rPr>
      </w:pPr>
    </w:p>
    <w:p w:rsidR="00012F54" w:rsidRPr="00012F54" w:rsidRDefault="00012F54" w:rsidP="00B065B6">
      <w:pPr>
        <w:spacing w:after="160" w:line="259" w:lineRule="auto"/>
        <w:ind w:firstLine="284"/>
        <w:rPr>
          <w:rFonts w:ascii="Times New Roman" w:hAnsi="Times New Roman"/>
        </w:rPr>
      </w:pPr>
      <w:r w:rsidRPr="00012F54">
        <w:rPr>
          <w:rFonts w:ascii="Times New Roman" w:hAnsi="Times New Roman"/>
        </w:rPr>
        <w:br w:type="page"/>
      </w:r>
    </w:p>
    <w:p w:rsidR="00012F54" w:rsidRPr="00012F54" w:rsidRDefault="00012F54" w:rsidP="00B065B6">
      <w:pPr>
        <w:spacing w:before="120" w:after="120" w:line="240" w:lineRule="auto"/>
        <w:ind w:firstLine="284"/>
        <w:jc w:val="center"/>
        <w:rPr>
          <w:rFonts w:ascii="Times New Roman" w:hAnsi="Times New Roman"/>
          <w:b/>
          <w:bCs/>
          <w:sz w:val="28"/>
          <w:szCs w:val="28"/>
        </w:rPr>
      </w:pPr>
      <w:bookmarkStart w:id="10" w:name="_Hlk51944774"/>
      <w:r w:rsidRPr="00012F54">
        <w:rPr>
          <w:rFonts w:ascii="Times New Roman" w:hAnsi="Times New Roman"/>
          <w:b/>
          <w:bCs/>
          <w:sz w:val="28"/>
          <w:szCs w:val="28"/>
        </w:rPr>
        <w:lastRenderedPageBreak/>
        <w:t>ПЕРЕЛІК УМОВНИХ СКОРОЧЕНЬ</w:t>
      </w:r>
      <w:bookmarkEnd w:id="10"/>
    </w:p>
    <w:p w:rsidR="00012F54" w:rsidRPr="00012F54" w:rsidRDefault="00012F54" w:rsidP="00B065B6">
      <w:pPr>
        <w:pStyle w:val="1"/>
        <w:spacing w:before="120" w:beforeAutospacing="0" w:after="120" w:afterAutospacing="0"/>
        <w:ind w:firstLine="284"/>
        <w:rPr>
          <w:caps/>
          <w:sz w:val="28"/>
          <w:szCs w:val="28"/>
          <w:highlight w:val="yellow"/>
          <w:lang w:val="uk-UA"/>
        </w:rPr>
      </w:pPr>
    </w:p>
    <w:tbl>
      <w:tblPr>
        <w:tblW w:w="9709" w:type="dxa"/>
        <w:tblInd w:w="214" w:type="dxa"/>
        <w:tblLayout w:type="fixed"/>
        <w:tblCellMar>
          <w:left w:w="92" w:type="dxa"/>
          <w:right w:w="92" w:type="dxa"/>
        </w:tblCellMar>
        <w:tblLook w:val="0000"/>
      </w:tblPr>
      <w:tblGrid>
        <w:gridCol w:w="1204"/>
        <w:gridCol w:w="8505"/>
      </w:tblGrid>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АДФ</w:t>
            </w:r>
          </w:p>
        </w:tc>
        <w:tc>
          <w:tcPr>
            <w:tcW w:w="8505" w:type="dxa"/>
          </w:tcPr>
          <w:p w:rsidR="00012F54" w:rsidRPr="00012F54" w:rsidRDefault="00012F54" w:rsidP="00B065B6">
            <w:pPr>
              <w:pStyle w:val="a5"/>
              <w:widowControl w:val="0"/>
              <w:tabs>
                <w:tab w:val="left" w:pos="0"/>
              </w:tabs>
              <w:spacing w:before="60" w:after="60" w:line="240" w:lineRule="auto"/>
              <w:ind w:left="0"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bCs/>
                <w:color w:val="000000" w:themeColor="text1"/>
                <w:sz w:val="28"/>
                <w:szCs w:val="28"/>
                <w:lang w:val="uk-UA"/>
              </w:rPr>
              <w:t>аденозиндиифосфорна кислота</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АМФ</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bCs/>
                <w:color w:val="000000" w:themeColor="text1"/>
                <w:sz w:val="28"/>
                <w:szCs w:val="28"/>
                <w:lang w:val="uk-UA"/>
              </w:rPr>
              <w:t>аденозинмонофосфорна кислота</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АТ</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bCs/>
                <w:color w:val="000000" w:themeColor="text1"/>
                <w:sz w:val="28"/>
                <w:szCs w:val="28"/>
                <w:lang w:val="uk-UA"/>
              </w:rPr>
            </w:pPr>
            <w:r w:rsidRPr="00012F54">
              <w:rPr>
                <w:rFonts w:ascii="Times New Roman" w:hAnsi="Times New Roman"/>
                <w:color w:val="000000" w:themeColor="text1"/>
              </w:rPr>
              <w:t>–</w:t>
            </w:r>
            <w:bookmarkStart w:id="11" w:name="_Hlk51941640"/>
            <w:r w:rsidRPr="00012F54">
              <w:rPr>
                <w:rFonts w:ascii="Times New Roman" w:hAnsi="Times New Roman"/>
                <w:bCs/>
                <w:color w:val="000000" w:themeColor="text1"/>
                <w:sz w:val="28"/>
                <w:szCs w:val="28"/>
                <w:lang w:val="uk-UA"/>
              </w:rPr>
              <w:t>артеріальн</w:t>
            </w:r>
            <w:bookmarkEnd w:id="11"/>
            <w:r w:rsidRPr="00012F54">
              <w:rPr>
                <w:rFonts w:ascii="Times New Roman" w:hAnsi="Times New Roman"/>
                <w:bCs/>
                <w:color w:val="000000" w:themeColor="text1"/>
                <w:sz w:val="28"/>
                <w:szCs w:val="28"/>
                <w:lang w:val="uk-UA"/>
              </w:rPr>
              <w:t>ий тиск</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АТФ</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bCs/>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bCs/>
                <w:color w:val="000000" w:themeColor="text1"/>
                <w:sz w:val="28"/>
                <w:szCs w:val="28"/>
                <w:lang w:val="uk-UA"/>
              </w:rPr>
              <w:t>аденозинтрифосфорна кислота</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в/в</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bCs/>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bCs/>
                <w:color w:val="000000" w:themeColor="text1"/>
                <w:sz w:val="28"/>
                <w:szCs w:val="28"/>
                <w:lang w:val="uk-UA"/>
              </w:rPr>
              <w:t xml:space="preserve"> внутрішньовенно</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в/о</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bCs/>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noProof/>
                <w:color w:val="000000" w:themeColor="text1"/>
                <w:sz w:val="28"/>
                <w:szCs w:val="28"/>
                <w:lang w:val="uk-UA"/>
              </w:rPr>
              <w:t xml:space="preserve"> внутрішньоочеревинно</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в/ш</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noProof/>
                <w:color w:val="000000" w:themeColor="text1"/>
                <w:sz w:val="28"/>
                <w:szCs w:val="28"/>
                <w:lang w:val="uk-UA"/>
              </w:rPr>
              <w:t xml:space="preserve"> внутрішньошлунково</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ВМК</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noProof/>
                <w:color w:val="000000" w:themeColor="text1"/>
                <w:sz w:val="28"/>
                <w:szCs w:val="28"/>
                <w:lang w:val="uk-UA"/>
              </w:rPr>
              <w:t xml:space="preserve"> внутрішньомозковий крововилив</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color w:val="000000" w:themeColor="text1"/>
                <w:sz w:val="28"/>
                <w:szCs w:val="28"/>
                <w:lang w:val="uk-UA"/>
              </w:rPr>
              <w:t>ВНМУ</w:t>
            </w:r>
          </w:p>
        </w:tc>
        <w:tc>
          <w:tcPr>
            <w:tcW w:w="8505" w:type="dxa"/>
          </w:tcPr>
          <w:p w:rsidR="00012F54" w:rsidRPr="00012F54" w:rsidRDefault="00012F54" w:rsidP="005879AB">
            <w:pPr>
              <w:widowControl w:val="0"/>
              <w:tabs>
                <w:tab w:val="left" w:pos="472"/>
              </w:tabs>
              <w:spacing w:before="60" w:after="60" w:line="240" w:lineRule="auto"/>
              <w:ind w:left="472" w:hanging="188"/>
              <w:rPr>
                <w:rFonts w:ascii="Times New Roman" w:hAnsi="Times New Roman"/>
                <w:noProof/>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color w:val="000000" w:themeColor="text1"/>
                <w:sz w:val="28"/>
                <w:szCs w:val="28"/>
                <w:lang w:val="uk-UA"/>
              </w:rPr>
              <w:t xml:space="preserve"> Вінницький національний медичний університет ім. М.І. Пирогова</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color w:val="000000" w:themeColor="text1"/>
                <w:sz w:val="28"/>
                <w:szCs w:val="28"/>
                <w:lang w:val="uk-UA"/>
              </w:rPr>
              <w:t>ВЧК</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noProof/>
                <w:color w:val="000000" w:themeColor="text1"/>
                <w:sz w:val="28"/>
                <w:szCs w:val="28"/>
                <w:lang w:val="uk-UA"/>
              </w:rPr>
              <w:t>внутрішньочерепний крововилив</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color w:val="000000" w:themeColor="text1"/>
                <w:sz w:val="28"/>
                <w:szCs w:val="28"/>
                <w:lang w:val="uk-UA"/>
              </w:rPr>
            </w:pPr>
            <w:r w:rsidRPr="00012F54">
              <w:rPr>
                <w:rFonts w:ascii="Times New Roman" w:hAnsi="Times New Roman"/>
                <w:color w:val="000000" w:themeColor="text1"/>
                <w:sz w:val="28"/>
                <w:szCs w:val="28"/>
                <w:lang w:val="uk-UA"/>
              </w:rPr>
              <w:t>ВЧТ</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color w:val="000000" w:themeColor="text1"/>
                <w:sz w:val="28"/>
                <w:szCs w:val="28"/>
                <w:lang w:val="uk-UA"/>
              </w:rPr>
            </w:pPr>
            <w:r w:rsidRPr="00012F54">
              <w:rPr>
                <w:rFonts w:ascii="Times New Roman" w:hAnsi="Times New Roman"/>
                <w:color w:val="000000" w:themeColor="text1"/>
              </w:rPr>
              <w:t>–</w:t>
            </w:r>
            <w:bookmarkStart w:id="12" w:name="_Hlk51944872"/>
            <w:r w:rsidRPr="00012F54">
              <w:rPr>
                <w:rFonts w:ascii="Times New Roman" w:hAnsi="Times New Roman"/>
                <w:color w:val="000000" w:themeColor="text1"/>
                <w:sz w:val="28"/>
                <w:szCs w:val="28"/>
                <w:lang w:val="uk-UA"/>
              </w:rPr>
              <w:t>внутрішньочерепн</w:t>
            </w:r>
            <w:bookmarkEnd w:id="12"/>
            <w:r w:rsidRPr="00012F54">
              <w:rPr>
                <w:rFonts w:ascii="Times New Roman" w:hAnsi="Times New Roman"/>
                <w:color w:val="000000" w:themeColor="text1"/>
                <w:sz w:val="28"/>
                <w:szCs w:val="28"/>
                <w:lang w:val="uk-UA"/>
              </w:rPr>
              <w:t>ий тиск</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color w:val="000000" w:themeColor="text1"/>
                <w:sz w:val="28"/>
                <w:szCs w:val="28"/>
                <w:lang w:val="uk-UA"/>
              </w:rPr>
            </w:pPr>
            <w:r w:rsidRPr="00012F54">
              <w:rPr>
                <w:rFonts w:ascii="Times New Roman" w:hAnsi="Times New Roman"/>
                <w:color w:val="000000" w:themeColor="text1"/>
                <w:sz w:val="28"/>
                <w:szCs w:val="28"/>
                <w:lang w:val="uk-UA"/>
              </w:rPr>
              <w:t>ГЕБ</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color w:val="000000" w:themeColor="text1"/>
                <w:sz w:val="28"/>
                <w:szCs w:val="28"/>
                <w:lang w:val="uk-UA"/>
              </w:rPr>
              <w:t>гематоенцефалічний бар'єр</w:t>
            </w:r>
          </w:p>
        </w:tc>
      </w:tr>
      <w:tr w:rsidR="00012F54" w:rsidRPr="00012F54" w:rsidTr="00012F54">
        <w:trPr>
          <w:trHeight w:val="454"/>
        </w:trPr>
        <w:tc>
          <w:tcPr>
            <w:tcW w:w="1204" w:type="dxa"/>
          </w:tcPr>
          <w:p w:rsidR="00012F54" w:rsidRPr="00012F54" w:rsidRDefault="00012F54" w:rsidP="005879AB">
            <w:pPr>
              <w:widowControl w:val="0"/>
              <w:spacing w:before="60" w:after="60" w:line="240" w:lineRule="auto"/>
              <w:rPr>
                <w:rFonts w:ascii="Times New Roman" w:hAnsi="Times New Roman"/>
                <w:bCs/>
                <w:caps/>
                <w:color w:val="000000" w:themeColor="text1"/>
                <w:sz w:val="28"/>
                <w:szCs w:val="28"/>
                <w:lang w:val="uk-UA"/>
              </w:rPr>
            </w:pPr>
            <w:r w:rsidRPr="00012F54">
              <w:rPr>
                <w:rFonts w:ascii="Times New Roman" w:hAnsi="Times New Roman"/>
                <w:color w:val="000000" w:themeColor="text1"/>
                <w:sz w:val="28"/>
                <w:szCs w:val="28"/>
                <w:lang w:val="uk-UA"/>
              </w:rPr>
              <w:t>ГІ</w:t>
            </w:r>
          </w:p>
        </w:tc>
        <w:tc>
          <w:tcPr>
            <w:tcW w:w="8505" w:type="dxa"/>
          </w:tcPr>
          <w:p w:rsidR="00012F54" w:rsidRPr="00012F54" w:rsidRDefault="00012F54" w:rsidP="00B065B6">
            <w:pPr>
              <w:widowControl w:val="0"/>
              <w:spacing w:before="60" w:after="60" w:line="240" w:lineRule="auto"/>
              <w:ind w:firstLine="284"/>
              <w:rPr>
                <w:rFonts w:ascii="Times New Roman" w:hAnsi="Times New Roman"/>
                <w:bCs/>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color w:val="000000" w:themeColor="text1"/>
                <w:sz w:val="28"/>
                <w:szCs w:val="28"/>
                <w:lang w:val="uk-UA"/>
              </w:rPr>
              <w:t xml:space="preserve"> геморагічний інсульт </w:t>
            </w:r>
          </w:p>
        </w:tc>
      </w:tr>
      <w:tr w:rsidR="00012F54" w:rsidRPr="00012F54" w:rsidTr="00012F54">
        <w:trPr>
          <w:trHeight w:val="454"/>
        </w:trPr>
        <w:tc>
          <w:tcPr>
            <w:tcW w:w="1204" w:type="dxa"/>
          </w:tcPr>
          <w:p w:rsidR="00012F54" w:rsidRPr="00012F54" w:rsidRDefault="00012F54" w:rsidP="005879AB">
            <w:pPr>
              <w:widowControl w:val="0"/>
              <w:spacing w:before="60" w:after="60" w:line="240" w:lineRule="auto"/>
              <w:rPr>
                <w:rFonts w:ascii="Times New Roman" w:hAnsi="Times New Roman"/>
                <w:color w:val="000000" w:themeColor="text1"/>
                <w:sz w:val="28"/>
                <w:szCs w:val="28"/>
                <w:lang w:val="uk-UA"/>
              </w:rPr>
            </w:pPr>
            <w:r w:rsidRPr="00012F54">
              <w:rPr>
                <w:rFonts w:ascii="Times New Roman" w:hAnsi="Times New Roman"/>
                <w:bCs/>
                <w:caps/>
                <w:color w:val="000000" w:themeColor="text1"/>
                <w:sz w:val="28"/>
                <w:szCs w:val="28"/>
                <w:lang w:val="uk-UA"/>
              </w:rPr>
              <w:t>ГПО</w:t>
            </w:r>
          </w:p>
        </w:tc>
        <w:tc>
          <w:tcPr>
            <w:tcW w:w="8505" w:type="dxa"/>
          </w:tcPr>
          <w:p w:rsidR="00012F54" w:rsidRPr="00012F54" w:rsidRDefault="00012F54" w:rsidP="00B065B6">
            <w:pPr>
              <w:widowControl w:val="0"/>
              <w:spacing w:before="60" w:after="60" w:line="240" w:lineRule="auto"/>
              <w:ind w:firstLine="284"/>
              <w:rPr>
                <w:rFonts w:ascii="Times New Roman" w:hAnsi="Times New Roman"/>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bCs/>
                <w:color w:val="000000" w:themeColor="text1"/>
                <w:sz w:val="28"/>
                <w:szCs w:val="28"/>
                <w:lang w:val="uk-UA"/>
              </w:rPr>
              <w:t>глутатіонпероксидаза</w:t>
            </w:r>
          </w:p>
        </w:tc>
      </w:tr>
      <w:tr w:rsidR="00012F54" w:rsidRPr="00012F54" w:rsidTr="00012F54">
        <w:trPr>
          <w:trHeight w:val="454"/>
        </w:trPr>
        <w:tc>
          <w:tcPr>
            <w:tcW w:w="1204" w:type="dxa"/>
          </w:tcPr>
          <w:p w:rsidR="00012F54" w:rsidRPr="00012F54" w:rsidRDefault="00012F54" w:rsidP="005879AB">
            <w:pPr>
              <w:widowControl w:val="0"/>
              <w:spacing w:before="60" w:after="60" w:line="240" w:lineRule="auto"/>
              <w:rPr>
                <w:rFonts w:ascii="Times New Roman" w:hAnsi="Times New Roman"/>
                <w:color w:val="000000" w:themeColor="text1"/>
                <w:sz w:val="28"/>
                <w:szCs w:val="28"/>
                <w:lang w:val="uk-UA"/>
              </w:rPr>
            </w:pPr>
            <w:r w:rsidRPr="00012F54">
              <w:rPr>
                <w:rFonts w:ascii="Times New Roman" w:hAnsi="Times New Roman"/>
                <w:bCs/>
                <w:caps/>
                <w:color w:val="000000" w:themeColor="text1"/>
                <w:sz w:val="28"/>
                <w:szCs w:val="28"/>
                <w:lang w:val="uk-UA"/>
              </w:rPr>
              <w:t>гпмк</w:t>
            </w:r>
          </w:p>
        </w:tc>
        <w:tc>
          <w:tcPr>
            <w:tcW w:w="8505" w:type="dxa"/>
          </w:tcPr>
          <w:p w:rsidR="00012F54" w:rsidRPr="00012F54" w:rsidRDefault="00012F54" w:rsidP="00B065B6">
            <w:pPr>
              <w:widowControl w:val="0"/>
              <w:spacing w:before="60" w:after="60" w:line="240" w:lineRule="auto"/>
              <w:ind w:firstLine="284"/>
              <w:rPr>
                <w:rFonts w:ascii="Times New Roman" w:hAnsi="Times New Roman"/>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bCs/>
                <w:color w:val="000000" w:themeColor="text1"/>
                <w:sz w:val="28"/>
                <w:szCs w:val="28"/>
                <w:lang w:val="uk-UA"/>
              </w:rPr>
              <w:t xml:space="preserve"> гостре порушення мозкового кровотоку</w:t>
            </w:r>
          </w:p>
        </w:tc>
      </w:tr>
      <w:tr w:rsidR="00012F54" w:rsidRPr="00012F54" w:rsidTr="00012F54">
        <w:trPr>
          <w:trHeight w:val="454"/>
        </w:trPr>
        <w:tc>
          <w:tcPr>
            <w:tcW w:w="1204" w:type="dxa"/>
          </w:tcPr>
          <w:p w:rsidR="00012F54" w:rsidRPr="00012F54" w:rsidRDefault="00012F54" w:rsidP="005879AB">
            <w:pPr>
              <w:widowControl w:val="0"/>
              <w:spacing w:before="60" w:after="60" w:line="240" w:lineRule="auto"/>
              <w:rPr>
                <w:rFonts w:ascii="Times New Roman" w:hAnsi="Times New Roman"/>
                <w:color w:val="000000" w:themeColor="text1"/>
                <w:sz w:val="28"/>
                <w:szCs w:val="28"/>
                <w:lang w:val="uk-UA"/>
              </w:rPr>
            </w:pPr>
            <w:r w:rsidRPr="00012F54">
              <w:rPr>
                <w:rFonts w:ascii="Times New Roman" w:hAnsi="Times New Roman"/>
                <w:bCs/>
                <w:caps/>
                <w:color w:val="000000" w:themeColor="text1"/>
                <w:sz w:val="28"/>
                <w:szCs w:val="28"/>
                <w:lang w:val="uk-UA"/>
              </w:rPr>
              <w:t xml:space="preserve">ДНК </w:t>
            </w:r>
          </w:p>
        </w:tc>
        <w:tc>
          <w:tcPr>
            <w:tcW w:w="8505" w:type="dxa"/>
          </w:tcPr>
          <w:p w:rsidR="00012F54" w:rsidRPr="00012F54" w:rsidRDefault="00012F54" w:rsidP="00B065B6">
            <w:pPr>
              <w:widowControl w:val="0"/>
              <w:spacing w:before="60" w:after="60" w:line="240" w:lineRule="auto"/>
              <w:ind w:firstLine="284"/>
              <w:rPr>
                <w:rFonts w:ascii="Times New Roman" w:hAnsi="Times New Roman"/>
                <w:color w:val="000000" w:themeColor="text1"/>
                <w:sz w:val="28"/>
                <w:szCs w:val="28"/>
                <w:lang w:val="uk-UA"/>
              </w:rPr>
            </w:pPr>
            <w:r w:rsidRPr="00012F54">
              <w:rPr>
                <w:rFonts w:ascii="Times New Roman" w:hAnsi="Times New Roman"/>
                <w:color w:val="000000" w:themeColor="text1"/>
              </w:rPr>
              <w:t>–</w:t>
            </w:r>
            <w:bookmarkStart w:id="13" w:name="_Hlk51932450"/>
            <w:r w:rsidRPr="00012F54">
              <w:rPr>
                <w:rFonts w:ascii="Times New Roman" w:hAnsi="Times New Roman"/>
                <w:bCs/>
                <w:color w:val="000000" w:themeColor="text1"/>
                <w:sz w:val="28"/>
                <w:szCs w:val="28"/>
                <w:lang w:val="uk-UA"/>
              </w:rPr>
              <w:t>дезоксирибонуклеїнова кислота</w:t>
            </w:r>
            <w:bookmarkEnd w:id="13"/>
          </w:p>
        </w:tc>
      </w:tr>
      <w:tr w:rsidR="00012F54" w:rsidRPr="00012F54" w:rsidTr="00012F54">
        <w:trPr>
          <w:trHeight w:val="454"/>
        </w:trPr>
        <w:tc>
          <w:tcPr>
            <w:tcW w:w="1204" w:type="dxa"/>
          </w:tcPr>
          <w:p w:rsidR="00012F54" w:rsidRPr="00012F54" w:rsidRDefault="00012F54" w:rsidP="005879AB">
            <w:pPr>
              <w:widowControl w:val="0"/>
              <w:spacing w:before="60" w:after="60" w:line="240" w:lineRule="auto"/>
              <w:rPr>
                <w:rFonts w:ascii="Times New Roman" w:hAnsi="Times New Roman"/>
                <w:bCs/>
                <w:caps/>
                <w:color w:val="000000" w:themeColor="text1"/>
                <w:sz w:val="28"/>
                <w:szCs w:val="28"/>
                <w:lang w:val="uk-UA"/>
              </w:rPr>
            </w:pPr>
            <w:r w:rsidRPr="00012F54">
              <w:rPr>
                <w:rFonts w:ascii="Times New Roman" w:hAnsi="Times New Roman"/>
                <w:bCs/>
                <w:caps/>
                <w:color w:val="000000" w:themeColor="text1"/>
                <w:sz w:val="28"/>
                <w:szCs w:val="28"/>
                <w:lang w:val="uk-UA"/>
              </w:rPr>
              <w:t>ІІ</w:t>
            </w:r>
          </w:p>
        </w:tc>
        <w:tc>
          <w:tcPr>
            <w:tcW w:w="8505" w:type="dxa"/>
          </w:tcPr>
          <w:p w:rsidR="00012F54" w:rsidRPr="00012F54" w:rsidRDefault="00012F54" w:rsidP="00B065B6">
            <w:pPr>
              <w:widowControl w:val="0"/>
              <w:spacing w:before="60" w:after="60" w:line="240" w:lineRule="auto"/>
              <w:ind w:firstLine="284"/>
              <w:rPr>
                <w:rFonts w:ascii="Times New Roman" w:hAnsi="Times New Roman"/>
                <w:color w:val="000000" w:themeColor="text1"/>
                <w:lang w:val="uk-UA"/>
              </w:rPr>
            </w:pPr>
            <w:r w:rsidRPr="00012F54">
              <w:rPr>
                <w:rFonts w:ascii="Times New Roman" w:hAnsi="Times New Roman"/>
                <w:color w:val="000000" w:themeColor="text1"/>
              </w:rPr>
              <w:t>–</w:t>
            </w:r>
            <w:r w:rsidRPr="00012F54">
              <w:rPr>
                <w:rFonts w:ascii="Times New Roman" w:hAnsi="Times New Roman"/>
                <w:bCs/>
                <w:color w:val="000000" w:themeColor="text1"/>
                <w:sz w:val="28"/>
                <w:szCs w:val="28"/>
                <w:lang w:val="uk-UA"/>
              </w:rPr>
              <w:t xml:space="preserve"> ішемічний інсульт</w:t>
            </w:r>
          </w:p>
        </w:tc>
      </w:tr>
      <w:tr w:rsidR="00012F54" w:rsidRPr="00012F54" w:rsidTr="00012F54">
        <w:trPr>
          <w:trHeight w:val="454"/>
        </w:trPr>
        <w:tc>
          <w:tcPr>
            <w:tcW w:w="1204" w:type="dxa"/>
          </w:tcPr>
          <w:p w:rsidR="00012F54" w:rsidRPr="00012F54" w:rsidRDefault="00012F54" w:rsidP="005879AB">
            <w:pPr>
              <w:widowControl w:val="0"/>
              <w:spacing w:before="60" w:after="60" w:line="240" w:lineRule="auto"/>
              <w:rPr>
                <w:rFonts w:ascii="Times New Roman" w:hAnsi="Times New Roman"/>
                <w:color w:val="000000" w:themeColor="text1"/>
                <w:sz w:val="28"/>
                <w:szCs w:val="28"/>
                <w:lang w:val="uk-UA"/>
              </w:rPr>
            </w:pPr>
            <w:r w:rsidRPr="00012F54">
              <w:rPr>
                <w:rFonts w:ascii="Times New Roman" w:hAnsi="Times New Roman"/>
                <w:bCs/>
                <w:color w:val="000000" w:themeColor="text1"/>
                <w:sz w:val="28"/>
                <w:szCs w:val="28"/>
                <w:lang w:val="uk-UA"/>
              </w:rPr>
              <w:t xml:space="preserve">ІР </w:t>
            </w:r>
          </w:p>
        </w:tc>
        <w:tc>
          <w:tcPr>
            <w:tcW w:w="8505" w:type="dxa"/>
          </w:tcPr>
          <w:p w:rsidR="00012F54" w:rsidRPr="00012F54" w:rsidRDefault="00012F54" w:rsidP="00B065B6">
            <w:pPr>
              <w:widowControl w:val="0"/>
              <w:spacing w:before="60" w:after="60" w:line="240" w:lineRule="auto"/>
              <w:ind w:firstLine="284"/>
              <w:rPr>
                <w:rFonts w:ascii="Times New Roman" w:hAnsi="Times New Roman"/>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bCs/>
                <w:color w:val="000000" w:themeColor="text1"/>
                <w:sz w:val="28"/>
                <w:szCs w:val="28"/>
                <w:lang w:val="uk-UA"/>
              </w:rPr>
              <w:t xml:space="preserve"> ішемія / реперфузія</w:t>
            </w:r>
          </w:p>
        </w:tc>
      </w:tr>
      <w:tr w:rsidR="00012F54" w:rsidRPr="00012F54" w:rsidTr="00012F54">
        <w:trPr>
          <w:trHeight w:val="454"/>
        </w:trPr>
        <w:tc>
          <w:tcPr>
            <w:tcW w:w="1204" w:type="dxa"/>
          </w:tcPr>
          <w:p w:rsidR="00012F54" w:rsidRPr="00012F54" w:rsidRDefault="00012F54" w:rsidP="005879AB">
            <w:pPr>
              <w:widowControl w:val="0"/>
              <w:spacing w:before="60" w:after="60" w:line="240" w:lineRule="auto"/>
              <w:rPr>
                <w:rFonts w:ascii="Times New Roman" w:hAnsi="Times New Roman"/>
                <w:color w:val="000000" w:themeColor="text1"/>
                <w:sz w:val="28"/>
                <w:szCs w:val="28"/>
                <w:lang w:val="uk-UA"/>
              </w:rPr>
            </w:pPr>
            <w:r w:rsidRPr="00012F54">
              <w:rPr>
                <w:rFonts w:ascii="Times New Roman" w:hAnsi="Times New Roman"/>
                <w:bCs/>
                <w:caps/>
                <w:color w:val="000000" w:themeColor="text1"/>
                <w:sz w:val="28"/>
                <w:szCs w:val="28"/>
                <w:lang w:val="uk-UA"/>
              </w:rPr>
              <w:t xml:space="preserve">КГП </w:t>
            </w:r>
          </w:p>
        </w:tc>
        <w:tc>
          <w:tcPr>
            <w:tcW w:w="8505" w:type="dxa"/>
          </w:tcPr>
          <w:p w:rsidR="00012F54" w:rsidRPr="00012F54" w:rsidRDefault="00012F54" w:rsidP="00B065B6">
            <w:pPr>
              <w:widowControl w:val="0"/>
              <w:spacing w:before="60" w:after="60" w:line="240" w:lineRule="auto"/>
              <w:ind w:firstLine="284"/>
              <w:rPr>
                <w:rFonts w:ascii="Times New Roman" w:hAnsi="Times New Roman"/>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bCs/>
                <w:color w:val="000000" w:themeColor="text1"/>
                <w:sz w:val="28"/>
                <w:szCs w:val="28"/>
                <w:lang w:val="uk-UA"/>
              </w:rPr>
              <w:t xml:space="preserve"> к</w:t>
            </w:r>
            <w:r w:rsidRPr="00012F54">
              <w:rPr>
                <w:rFonts w:ascii="Times New Roman" w:hAnsi="Times New Roman"/>
                <w:color w:val="000000" w:themeColor="text1"/>
                <w:sz w:val="28"/>
                <w:szCs w:val="28"/>
                <w:lang w:val="uk-UA"/>
              </w:rPr>
              <w:t>арбонільні групи протеїнів</w:t>
            </w:r>
          </w:p>
        </w:tc>
      </w:tr>
      <w:tr w:rsidR="00012F54" w:rsidRPr="00012F54" w:rsidTr="00012F54">
        <w:trPr>
          <w:trHeight w:val="454"/>
        </w:trPr>
        <w:tc>
          <w:tcPr>
            <w:tcW w:w="1204" w:type="dxa"/>
          </w:tcPr>
          <w:p w:rsidR="00012F54" w:rsidRPr="00012F54" w:rsidRDefault="00012F54" w:rsidP="005879AB">
            <w:pPr>
              <w:widowControl w:val="0"/>
              <w:spacing w:before="60" w:after="60" w:line="240" w:lineRule="auto"/>
              <w:rPr>
                <w:rFonts w:ascii="Times New Roman" w:hAnsi="Times New Roman"/>
                <w:color w:val="000000" w:themeColor="text1"/>
                <w:sz w:val="28"/>
                <w:szCs w:val="28"/>
                <w:lang w:val="uk-UA"/>
              </w:rPr>
            </w:pPr>
            <w:r w:rsidRPr="00012F54">
              <w:rPr>
                <w:rFonts w:ascii="Times New Roman" w:hAnsi="Times New Roman"/>
                <w:bCs/>
                <w:caps/>
                <w:color w:val="000000" w:themeColor="text1"/>
                <w:sz w:val="28"/>
                <w:szCs w:val="28"/>
                <w:lang w:val="uk-UA"/>
              </w:rPr>
              <w:t xml:space="preserve">МДА </w:t>
            </w:r>
          </w:p>
        </w:tc>
        <w:tc>
          <w:tcPr>
            <w:tcW w:w="8505" w:type="dxa"/>
          </w:tcPr>
          <w:p w:rsidR="00012F54" w:rsidRPr="00012F54" w:rsidRDefault="00012F54" w:rsidP="00B065B6">
            <w:pPr>
              <w:widowControl w:val="0"/>
              <w:spacing w:before="60" w:after="60" w:line="240" w:lineRule="auto"/>
              <w:ind w:firstLine="284"/>
              <w:rPr>
                <w:rFonts w:ascii="Times New Roman" w:hAnsi="Times New Roman"/>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bCs/>
                <w:color w:val="000000" w:themeColor="text1"/>
                <w:sz w:val="28"/>
                <w:szCs w:val="28"/>
                <w:lang w:val="uk-UA"/>
              </w:rPr>
              <w:t>малоновий діальдегід</w:t>
            </w:r>
          </w:p>
        </w:tc>
      </w:tr>
      <w:tr w:rsidR="00012F54" w:rsidRPr="00012F54" w:rsidTr="00012F54">
        <w:trPr>
          <w:trHeight w:val="454"/>
        </w:trPr>
        <w:tc>
          <w:tcPr>
            <w:tcW w:w="1204" w:type="dxa"/>
          </w:tcPr>
          <w:p w:rsidR="00012F54" w:rsidRPr="00012F54" w:rsidRDefault="00012F54" w:rsidP="005879AB">
            <w:pPr>
              <w:widowControl w:val="0"/>
              <w:spacing w:before="60" w:after="60" w:line="240" w:lineRule="auto"/>
              <w:rPr>
                <w:rFonts w:ascii="Times New Roman" w:hAnsi="Times New Roman"/>
                <w:bCs/>
                <w:caps/>
                <w:color w:val="000000" w:themeColor="text1"/>
                <w:sz w:val="28"/>
                <w:szCs w:val="28"/>
                <w:lang w:val="uk-UA"/>
              </w:rPr>
            </w:pPr>
            <w:r w:rsidRPr="00012F54">
              <w:rPr>
                <w:rFonts w:ascii="Times New Roman" w:hAnsi="Times New Roman"/>
                <w:color w:val="000000" w:themeColor="text1"/>
                <w:sz w:val="28"/>
                <w:szCs w:val="28"/>
                <w:lang w:val="uk-UA"/>
              </w:rPr>
              <w:t>МОЗ</w:t>
            </w:r>
          </w:p>
        </w:tc>
        <w:tc>
          <w:tcPr>
            <w:tcW w:w="8505" w:type="dxa"/>
          </w:tcPr>
          <w:p w:rsidR="00012F54" w:rsidRPr="00012F54" w:rsidRDefault="00012F54" w:rsidP="00B065B6">
            <w:pPr>
              <w:widowControl w:val="0"/>
              <w:spacing w:before="60" w:after="60" w:line="240" w:lineRule="auto"/>
              <w:ind w:firstLine="284"/>
              <w:rPr>
                <w:rFonts w:ascii="Times New Roman" w:hAnsi="Times New Roman"/>
                <w:bCs/>
                <w:color w:val="000000" w:themeColor="text1"/>
                <w:sz w:val="28"/>
                <w:szCs w:val="28"/>
                <w:lang w:val="uk-UA"/>
              </w:rPr>
            </w:pPr>
            <w:r w:rsidRPr="00012F54">
              <w:rPr>
                <w:rFonts w:ascii="Times New Roman" w:hAnsi="Times New Roman"/>
                <w:color w:val="000000" w:themeColor="text1"/>
              </w:rPr>
              <w:t>–</w:t>
            </w:r>
            <w:bookmarkStart w:id="14" w:name="_Hlk51933336"/>
            <w:r w:rsidRPr="00012F54">
              <w:rPr>
                <w:rFonts w:ascii="Times New Roman" w:hAnsi="Times New Roman"/>
                <w:color w:val="000000" w:themeColor="text1"/>
                <w:sz w:val="28"/>
                <w:szCs w:val="28"/>
                <w:lang w:val="uk-UA"/>
              </w:rPr>
              <w:t>Міністерство охорони здоров’я</w:t>
            </w:r>
            <w:bookmarkEnd w:id="14"/>
          </w:p>
        </w:tc>
      </w:tr>
      <w:tr w:rsidR="00012F54" w:rsidRPr="00012F54" w:rsidTr="00012F54">
        <w:trPr>
          <w:trHeight w:val="454"/>
        </w:trPr>
        <w:tc>
          <w:tcPr>
            <w:tcW w:w="1204" w:type="dxa"/>
          </w:tcPr>
          <w:p w:rsidR="00012F54" w:rsidRPr="00012F54" w:rsidRDefault="00012F54" w:rsidP="005879AB">
            <w:pPr>
              <w:widowControl w:val="0"/>
              <w:spacing w:before="60" w:after="60" w:line="240" w:lineRule="auto"/>
              <w:rPr>
                <w:rFonts w:ascii="Times New Roman" w:hAnsi="Times New Roman"/>
                <w:color w:val="000000" w:themeColor="text1"/>
                <w:sz w:val="28"/>
                <w:szCs w:val="28"/>
                <w:lang w:val="uk-UA"/>
              </w:rPr>
            </w:pPr>
            <w:r w:rsidRPr="00012F54">
              <w:rPr>
                <w:rFonts w:ascii="Times New Roman" w:hAnsi="Times New Roman"/>
                <w:color w:val="000000" w:themeColor="text1"/>
                <w:sz w:val="28"/>
                <w:szCs w:val="28"/>
                <w:lang w:val="uk-UA"/>
              </w:rPr>
              <w:t>ННДЛ</w:t>
            </w:r>
          </w:p>
        </w:tc>
        <w:tc>
          <w:tcPr>
            <w:tcW w:w="8505" w:type="dxa"/>
          </w:tcPr>
          <w:p w:rsidR="00012F54" w:rsidRPr="00012F54" w:rsidRDefault="00012F54" w:rsidP="00B065B6">
            <w:pPr>
              <w:widowControl w:val="0"/>
              <w:spacing w:before="60" w:after="60" w:line="240" w:lineRule="auto"/>
              <w:ind w:firstLine="284"/>
              <w:rPr>
                <w:rFonts w:ascii="Times New Roman" w:hAnsi="Times New Roman"/>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color w:val="000000" w:themeColor="text1"/>
                <w:sz w:val="28"/>
                <w:szCs w:val="28"/>
                <w:lang w:val="uk-UA"/>
              </w:rPr>
              <w:t xml:space="preserve"> навчально-науково-дослідна лабораторія</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color w:val="000000" w:themeColor="text1"/>
                <w:sz w:val="28"/>
                <w:szCs w:val="28"/>
                <w:lang w:val="uk-UA"/>
              </w:rPr>
              <w:t>ОШМК</w:t>
            </w:r>
          </w:p>
        </w:tc>
        <w:tc>
          <w:tcPr>
            <w:tcW w:w="8505" w:type="dxa"/>
          </w:tcPr>
          <w:p w:rsidR="00012F54" w:rsidRPr="00012F54" w:rsidRDefault="00012F54" w:rsidP="00B065B6">
            <w:pPr>
              <w:widowControl w:val="0"/>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bookmarkStart w:id="15" w:name="_Hlk51934550"/>
            <w:r w:rsidRPr="00012F54">
              <w:rPr>
                <w:rFonts w:ascii="Times New Roman" w:hAnsi="Times New Roman"/>
                <w:color w:val="000000" w:themeColor="text1"/>
                <w:sz w:val="28"/>
                <w:szCs w:val="28"/>
                <w:lang w:val="uk-UA"/>
              </w:rPr>
              <w:t>об'ємна швидкість мозкового кровотоку</w:t>
            </w:r>
            <w:bookmarkEnd w:id="15"/>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color w:val="000000" w:themeColor="text1"/>
                <w:sz w:val="28"/>
                <w:szCs w:val="28"/>
                <w:lang w:val="uk-UA"/>
              </w:rPr>
            </w:pPr>
            <w:r w:rsidRPr="00012F54">
              <w:rPr>
                <w:rFonts w:ascii="Times New Roman" w:hAnsi="Times New Roman"/>
                <w:noProof/>
                <w:color w:val="000000" w:themeColor="text1"/>
                <w:sz w:val="28"/>
                <w:szCs w:val="28"/>
                <w:lang w:val="uk-UA"/>
              </w:rPr>
              <w:t>ПОЛ</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noProof/>
                <w:color w:val="000000" w:themeColor="text1"/>
                <w:sz w:val="28"/>
                <w:szCs w:val="28"/>
                <w:lang w:val="uk-UA"/>
              </w:rPr>
              <w:t xml:space="preserve"> перекисне окиснення ліпідів</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САК</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bookmarkStart w:id="16" w:name="_Hlk52037720"/>
            <w:r w:rsidRPr="00012F54">
              <w:rPr>
                <w:rFonts w:ascii="Times New Roman" w:hAnsi="Times New Roman"/>
                <w:noProof/>
                <w:color w:val="000000" w:themeColor="text1"/>
                <w:sz w:val="28"/>
                <w:szCs w:val="28"/>
                <w:lang w:val="uk-UA"/>
              </w:rPr>
              <w:t>субарахноїдальний крововилив</w:t>
            </w:r>
            <w:bookmarkEnd w:id="16"/>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САП</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color w:val="000000" w:themeColor="text1"/>
                <w:lang w:val="uk-UA"/>
              </w:rPr>
            </w:pPr>
            <w:r w:rsidRPr="00012F54">
              <w:rPr>
                <w:rFonts w:ascii="Times New Roman" w:hAnsi="Times New Roman"/>
                <w:color w:val="000000" w:themeColor="text1"/>
              </w:rPr>
              <w:t>–</w:t>
            </w:r>
            <w:r w:rsidRPr="00012F54">
              <w:rPr>
                <w:rFonts w:ascii="Times New Roman" w:hAnsi="Times New Roman"/>
                <w:noProof/>
                <w:color w:val="000000" w:themeColor="text1"/>
                <w:sz w:val="28"/>
                <w:szCs w:val="28"/>
                <w:lang w:val="uk-UA"/>
              </w:rPr>
              <w:t>субарахноїдальний простір</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СМА</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noProof/>
                <w:color w:val="000000" w:themeColor="text1"/>
                <w:sz w:val="28"/>
                <w:szCs w:val="28"/>
                <w:lang w:val="uk-UA"/>
              </w:rPr>
              <w:t xml:space="preserve"> середня мозкова артерія</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СОД</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noProof/>
                <w:color w:val="000000" w:themeColor="text1"/>
                <w:sz w:val="28"/>
                <w:szCs w:val="28"/>
                <w:lang w:val="uk-UA"/>
              </w:rPr>
              <w:t xml:space="preserve"> супероксиддисмутаза</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ЦВТ</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noProof/>
                <w:color w:val="000000" w:themeColor="text1"/>
                <w:sz w:val="28"/>
                <w:szCs w:val="28"/>
                <w:lang w:val="uk-UA"/>
              </w:rPr>
              <w:t xml:space="preserve"> центральний венозний тиск</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ЦД</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noProof/>
                <w:color w:val="000000" w:themeColor="text1"/>
                <w:sz w:val="28"/>
                <w:szCs w:val="28"/>
                <w:lang w:val="uk-UA"/>
              </w:rPr>
              <w:t xml:space="preserve"> цукровий діабет</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lastRenderedPageBreak/>
              <w:t>ЦНС</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noProof/>
                <w:color w:val="000000" w:themeColor="text1"/>
                <w:sz w:val="28"/>
                <w:szCs w:val="28"/>
                <w:lang w:val="uk-UA"/>
              </w:rPr>
              <w:t xml:space="preserve"> центральна нервова система</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noProof/>
                <w:color w:val="000000" w:themeColor="text1"/>
                <w:sz w:val="28"/>
                <w:szCs w:val="28"/>
                <w:lang w:val="uk-UA"/>
              </w:rPr>
              <w:t>ЧМТ</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noProof/>
                <w:color w:val="000000" w:themeColor="text1"/>
                <w:sz w:val="28"/>
                <w:szCs w:val="28"/>
                <w:lang w:val="uk-UA"/>
              </w:rPr>
              <w:t xml:space="preserve"> черепно-мозкова травма</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bookmarkStart w:id="17" w:name="_Hlk51944624"/>
            <w:r w:rsidRPr="00012F54">
              <w:rPr>
                <w:rFonts w:ascii="Times New Roman" w:hAnsi="Times New Roman"/>
                <w:color w:val="000000" w:themeColor="text1"/>
                <w:sz w:val="28"/>
                <w:szCs w:val="28"/>
                <w:lang w:val="uk-UA"/>
              </w:rPr>
              <w:t>Log P</w:t>
            </w:r>
            <w:bookmarkEnd w:id="17"/>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bookmarkStart w:id="18" w:name="_Hlk51944635"/>
            <w:r w:rsidRPr="00012F54">
              <w:rPr>
                <w:rFonts w:ascii="Times New Roman" w:hAnsi="Times New Roman"/>
                <w:noProof/>
                <w:color w:val="000000" w:themeColor="text1"/>
                <w:sz w:val="28"/>
                <w:szCs w:val="28"/>
                <w:lang w:val="uk-UA"/>
              </w:rPr>
              <w:t>логарифм Р</w:t>
            </w:r>
            <w:bookmarkEnd w:id="18"/>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r w:rsidRPr="00012F54">
              <w:rPr>
                <w:rFonts w:ascii="Times New Roman" w:hAnsi="Times New Roman"/>
                <w:color w:val="000000" w:themeColor="text1"/>
                <w:sz w:val="28"/>
                <w:szCs w:val="28"/>
                <w:lang w:val="uk-UA"/>
              </w:rPr>
              <w:t>NMDA</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bookmarkStart w:id="19" w:name="_Hlk51932251"/>
            <w:r w:rsidRPr="00012F54">
              <w:rPr>
                <w:rFonts w:ascii="Times New Roman" w:hAnsi="Times New Roman"/>
                <w:color w:val="000000" w:themeColor="text1"/>
                <w:sz w:val="28"/>
                <w:szCs w:val="28"/>
                <w:lang w:val="uk-UA"/>
              </w:rPr>
              <w:t>N-метил D-аспартат</w:t>
            </w:r>
            <w:bookmarkEnd w:id="19"/>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noProof/>
                <w:color w:val="000000" w:themeColor="text1"/>
                <w:sz w:val="28"/>
                <w:szCs w:val="28"/>
                <w:lang w:val="uk-UA"/>
              </w:rPr>
            </w:pPr>
            <w:bookmarkStart w:id="20" w:name="_Hlk51943911"/>
            <w:r w:rsidRPr="00012F54">
              <w:rPr>
                <w:rFonts w:ascii="Times New Roman" w:hAnsi="Times New Roman"/>
                <w:color w:val="000000" w:themeColor="text1"/>
                <w:sz w:val="28"/>
                <w:szCs w:val="28"/>
                <w:lang w:val="uk-UA"/>
              </w:rPr>
              <w:t>NО</w:t>
            </w:r>
            <w:bookmarkEnd w:id="20"/>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noProof/>
                <w:color w:val="000000" w:themeColor="text1"/>
                <w:sz w:val="28"/>
                <w:szCs w:val="28"/>
                <w:lang w:val="uk-UA"/>
              </w:rPr>
            </w:pPr>
            <w:r w:rsidRPr="00012F54">
              <w:rPr>
                <w:rFonts w:ascii="Times New Roman" w:hAnsi="Times New Roman"/>
                <w:color w:val="000000" w:themeColor="text1"/>
              </w:rPr>
              <w:t>–</w:t>
            </w:r>
            <w:bookmarkStart w:id="21" w:name="_Hlk51944678"/>
            <w:r w:rsidRPr="00012F54">
              <w:rPr>
                <w:rFonts w:ascii="Times New Roman" w:hAnsi="Times New Roman"/>
                <w:color w:val="000000" w:themeColor="text1"/>
                <w:sz w:val="28"/>
                <w:szCs w:val="28"/>
                <w:lang w:val="uk-UA"/>
              </w:rPr>
              <w:t>нітроген монооксид (оксид азоту)</w:t>
            </w:r>
            <w:bookmarkEnd w:id="21"/>
            <w:r w:rsidRPr="00012F54">
              <w:rPr>
                <w:rFonts w:ascii="Times New Roman" w:hAnsi="Times New Roman"/>
                <w:color w:val="000000" w:themeColor="text1"/>
                <w:sz w:val="28"/>
                <w:szCs w:val="28"/>
                <w:lang w:val="uk-UA"/>
              </w:rPr>
              <w:t xml:space="preserve"> 1 раз</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bCs/>
                <w:color w:val="000000" w:themeColor="text1"/>
                <w:sz w:val="28"/>
                <w:szCs w:val="28"/>
                <w:lang w:val="uk-UA"/>
              </w:rPr>
            </w:pPr>
            <w:bookmarkStart w:id="22" w:name="_Hlk51931941"/>
            <w:r w:rsidRPr="00012F54">
              <w:rPr>
                <w:rFonts w:ascii="Times New Roman" w:hAnsi="Times New Roman"/>
                <w:bCs/>
                <w:color w:val="000000" w:themeColor="text1"/>
                <w:sz w:val="28"/>
                <w:szCs w:val="28"/>
                <w:lang w:val="uk-UA"/>
              </w:rPr>
              <w:t>NSE</w:t>
            </w:r>
            <w:bookmarkEnd w:id="22"/>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color w:val="000000" w:themeColor="text1"/>
                <w:sz w:val="28"/>
                <w:szCs w:val="28"/>
                <w:lang w:val="uk-UA"/>
              </w:rPr>
              <w:t>нейронспецифічнаенолаза</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color w:val="000000" w:themeColor="text1"/>
                <w:sz w:val="28"/>
                <w:szCs w:val="28"/>
                <w:lang w:val="uk-UA"/>
              </w:rPr>
            </w:pPr>
            <w:r w:rsidRPr="00012F54">
              <w:rPr>
                <w:rFonts w:ascii="Times New Roman" w:eastAsia="TimesNewRomanPSMT" w:hAnsi="Times New Roman"/>
                <w:color w:val="000000" w:themeColor="text1"/>
                <w:sz w:val="28"/>
                <w:szCs w:val="28"/>
                <w:lang w:val="uk-UA"/>
              </w:rPr>
              <w:t>SaO</w:t>
            </w:r>
            <w:r w:rsidRPr="00012F54">
              <w:rPr>
                <w:rFonts w:ascii="Times New Roman" w:eastAsia="TimesNewRomanPSMT" w:hAnsi="Times New Roman"/>
                <w:color w:val="000000" w:themeColor="text1"/>
                <w:sz w:val="28"/>
                <w:szCs w:val="28"/>
                <w:vertAlign w:val="subscript"/>
                <w:lang w:val="uk-UA"/>
              </w:rPr>
              <w:t>2</w:t>
            </w:r>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color w:val="000000" w:themeColor="text1"/>
                <w:sz w:val="28"/>
                <w:szCs w:val="28"/>
                <w:lang w:val="uk-UA"/>
              </w:rPr>
              <w:t xml:space="preserve"> ступінь насичення крові киснем</w:t>
            </w:r>
          </w:p>
        </w:tc>
      </w:tr>
      <w:tr w:rsidR="00012F54" w:rsidRPr="00012F54" w:rsidTr="00012F54">
        <w:trPr>
          <w:trHeight w:val="454"/>
        </w:trPr>
        <w:tc>
          <w:tcPr>
            <w:tcW w:w="1204" w:type="dxa"/>
          </w:tcPr>
          <w:p w:rsidR="00012F54" w:rsidRPr="00012F54" w:rsidRDefault="00012F54" w:rsidP="005879AB">
            <w:pPr>
              <w:widowControl w:val="0"/>
              <w:tabs>
                <w:tab w:val="left" w:pos="0"/>
              </w:tabs>
              <w:spacing w:before="60" w:after="60" w:line="240" w:lineRule="auto"/>
              <w:rPr>
                <w:rFonts w:ascii="Times New Roman" w:hAnsi="Times New Roman"/>
                <w:bCs/>
                <w:color w:val="000000" w:themeColor="text1"/>
                <w:sz w:val="28"/>
                <w:szCs w:val="28"/>
                <w:lang w:val="uk-UA"/>
              </w:rPr>
            </w:pPr>
            <w:bookmarkStart w:id="23" w:name="_Hlk51932037"/>
            <w:r w:rsidRPr="00012F54">
              <w:rPr>
                <w:rFonts w:ascii="Times New Roman" w:hAnsi="Times New Roman"/>
                <w:bCs/>
                <w:caps/>
                <w:color w:val="000000" w:themeColor="text1"/>
                <w:sz w:val="28"/>
                <w:szCs w:val="28"/>
                <w:lang w:val="uk-UA"/>
              </w:rPr>
              <w:t>S100</w:t>
            </w:r>
            <w:bookmarkEnd w:id="23"/>
          </w:p>
        </w:tc>
        <w:tc>
          <w:tcPr>
            <w:tcW w:w="8505" w:type="dxa"/>
          </w:tcPr>
          <w:p w:rsidR="00012F54" w:rsidRPr="00012F54" w:rsidRDefault="00012F54" w:rsidP="00B065B6">
            <w:pPr>
              <w:widowControl w:val="0"/>
              <w:tabs>
                <w:tab w:val="left" w:pos="0"/>
              </w:tabs>
              <w:spacing w:before="60" w:after="60" w:line="240" w:lineRule="auto"/>
              <w:ind w:firstLine="284"/>
              <w:rPr>
                <w:rFonts w:ascii="Times New Roman" w:hAnsi="Times New Roman"/>
                <w:color w:val="000000" w:themeColor="text1"/>
                <w:sz w:val="28"/>
                <w:szCs w:val="28"/>
                <w:lang w:val="uk-UA"/>
              </w:rPr>
            </w:pPr>
            <w:r w:rsidRPr="00012F54">
              <w:rPr>
                <w:rFonts w:ascii="Times New Roman" w:hAnsi="Times New Roman"/>
                <w:color w:val="000000" w:themeColor="text1"/>
              </w:rPr>
              <w:t>–</w:t>
            </w:r>
            <w:r w:rsidRPr="00012F54">
              <w:rPr>
                <w:rFonts w:ascii="Times New Roman" w:hAnsi="Times New Roman"/>
                <w:bCs/>
                <w:color w:val="000000" w:themeColor="text1"/>
                <w:sz w:val="28"/>
                <w:szCs w:val="28"/>
                <w:lang w:val="uk-UA"/>
              </w:rPr>
              <w:t>білок</w:t>
            </w:r>
            <w:r w:rsidRPr="00012F54">
              <w:rPr>
                <w:rFonts w:ascii="Times New Roman" w:hAnsi="Times New Roman"/>
                <w:bCs/>
                <w:caps/>
                <w:color w:val="000000" w:themeColor="text1"/>
                <w:sz w:val="28"/>
                <w:szCs w:val="28"/>
                <w:lang w:val="uk-UA"/>
              </w:rPr>
              <w:t xml:space="preserve"> S100</w:t>
            </w:r>
          </w:p>
        </w:tc>
      </w:tr>
    </w:tbl>
    <w:p w:rsidR="00012F54" w:rsidRPr="00012F54" w:rsidRDefault="00012F54" w:rsidP="00B065B6">
      <w:pPr>
        <w:spacing w:before="120" w:after="120" w:line="240" w:lineRule="auto"/>
        <w:ind w:firstLine="284"/>
        <w:jc w:val="center"/>
        <w:rPr>
          <w:rFonts w:ascii="Times New Roman" w:hAnsi="Times New Roman"/>
          <w:sz w:val="28"/>
          <w:szCs w:val="28"/>
        </w:rPr>
      </w:pPr>
    </w:p>
    <w:p w:rsidR="00012F54" w:rsidRPr="00012F54" w:rsidRDefault="00012F54" w:rsidP="00B065B6">
      <w:pPr>
        <w:spacing w:after="160" w:line="259" w:lineRule="auto"/>
        <w:ind w:firstLine="284"/>
        <w:rPr>
          <w:rFonts w:ascii="Times New Roman" w:hAnsi="Times New Roman"/>
        </w:rPr>
      </w:pPr>
      <w:r w:rsidRPr="00012F54">
        <w:rPr>
          <w:rFonts w:ascii="Times New Roman" w:hAnsi="Times New Roman"/>
        </w:rPr>
        <w:br w:type="page"/>
      </w:r>
    </w:p>
    <w:p w:rsidR="00012F54" w:rsidRPr="00012F54" w:rsidRDefault="00012F54" w:rsidP="00B065B6">
      <w:pPr>
        <w:pStyle w:val="a5"/>
        <w:shd w:val="clear" w:color="auto" w:fill="FFFFFF"/>
        <w:tabs>
          <w:tab w:val="left" w:pos="-1080"/>
          <w:tab w:val="left" w:pos="0"/>
          <w:tab w:val="left" w:pos="567"/>
        </w:tabs>
        <w:spacing w:after="0" w:line="360" w:lineRule="auto"/>
        <w:ind w:left="0" w:firstLine="284"/>
        <w:jc w:val="center"/>
        <w:rPr>
          <w:rFonts w:ascii="Times New Roman" w:hAnsi="Times New Roman"/>
          <w:b/>
          <w:sz w:val="28"/>
          <w:szCs w:val="28"/>
          <w:lang w:val="uk-UA"/>
        </w:rPr>
      </w:pPr>
      <w:r w:rsidRPr="00012F54">
        <w:rPr>
          <w:rFonts w:ascii="Times New Roman" w:hAnsi="Times New Roman"/>
          <w:b/>
          <w:sz w:val="28"/>
          <w:szCs w:val="28"/>
          <w:lang w:val="uk-UA"/>
        </w:rPr>
        <w:lastRenderedPageBreak/>
        <w:t>ВСТУП</w:t>
      </w:r>
    </w:p>
    <w:p w:rsidR="00012F54" w:rsidRPr="00012F54" w:rsidRDefault="00012F54" w:rsidP="00B065B6">
      <w:pPr>
        <w:pStyle w:val="a5"/>
        <w:shd w:val="clear" w:color="auto" w:fill="FFFFFF"/>
        <w:tabs>
          <w:tab w:val="left" w:pos="-1080"/>
          <w:tab w:val="left" w:pos="0"/>
          <w:tab w:val="left" w:pos="567"/>
        </w:tabs>
        <w:spacing w:after="0" w:line="360" w:lineRule="auto"/>
        <w:ind w:left="0" w:firstLine="284"/>
        <w:jc w:val="center"/>
        <w:rPr>
          <w:rFonts w:ascii="Times New Roman" w:hAnsi="Times New Roman"/>
          <w:b/>
          <w:sz w:val="24"/>
          <w:szCs w:val="24"/>
          <w:lang w:val="uk-UA"/>
        </w:rPr>
      </w:pPr>
    </w:p>
    <w:p w:rsidR="00012F54" w:rsidRPr="00012F54" w:rsidRDefault="00012F54" w:rsidP="00B065B6">
      <w:pPr>
        <w:pStyle w:val="a5"/>
        <w:shd w:val="clear" w:color="auto" w:fill="FFFFFF"/>
        <w:tabs>
          <w:tab w:val="left" w:pos="-1080"/>
          <w:tab w:val="left" w:pos="0"/>
          <w:tab w:val="left" w:pos="567"/>
        </w:tabs>
        <w:spacing w:after="0" w:line="360" w:lineRule="auto"/>
        <w:ind w:left="0" w:firstLine="284"/>
        <w:jc w:val="both"/>
        <w:rPr>
          <w:rFonts w:ascii="Times New Roman" w:hAnsi="Times New Roman"/>
          <w:b/>
          <w:sz w:val="28"/>
          <w:szCs w:val="28"/>
          <w:lang w:val="uk-UA"/>
        </w:rPr>
      </w:pPr>
      <w:r w:rsidRPr="00012F54">
        <w:rPr>
          <w:rFonts w:ascii="Times New Roman" w:hAnsi="Times New Roman"/>
          <w:b/>
          <w:sz w:val="28"/>
          <w:szCs w:val="28"/>
          <w:lang w:val="uk-UA"/>
        </w:rPr>
        <w:t>Обґрунтування вибору теми дослідження</w:t>
      </w:r>
    </w:p>
    <w:p w:rsidR="00F7715E" w:rsidRDefault="00012F54" w:rsidP="00B065B6">
      <w:pPr>
        <w:pStyle w:val="a5"/>
        <w:shd w:val="clear" w:color="auto" w:fill="FFFFFF"/>
        <w:tabs>
          <w:tab w:val="left" w:pos="-1080"/>
          <w:tab w:val="left" w:pos="0"/>
          <w:tab w:val="left" w:pos="567"/>
        </w:tabs>
        <w:spacing w:after="0" w:line="360" w:lineRule="auto"/>
        <w:ind w:left="0" w:firstLine="284"/>
        <w:jc w:val="both"/>
        <w:rPr>
          <w:rFonts w:ascii="Times New Roman" w:hAnsi="Times New Roman"/>
          <w:sz w:val="28"/>
          <w:szCs w:val="28"/>
          <w:lang w:val="uk-UA"/>
        </w:rPr>
      </w:pPr>
      <w:r w:rsidRPr="00012F54">
        <w:rPr>
          <w:rFonts w:ascii="Times New Roman" w:hAnsi="Times New Roman"/>
          <w:bCs/>
          <w:sz w:val="28"/>
          <w:szCs w:val="28"/>
          <w:lang w:val="uk-UA"/>
        </w:rPr>
        <w:t>Головний мозок як невід’ємна морфо-функціональна складова ЦНС, являє собою її провідну мішень, а закономірні нейросудинні зміни корелюють із високим ступенем інвалідизації та показником летальності хворих, переважна більшість котрих пред-ставлена працездатним населенням України</w:t>
      </w:r>
      <w:bookmarkStart w:id="24" w:name="_Hlk485772534"/>
      <w:r w:rsidRPr="00012F54">
        <w:rPr>
          <w:rFonts w:ascii="Times New Roman" w:hAnsi="Times New Roman"/>
          <w:bCs/>
          <w:sz w:val="28"/>
          <w:szCs w:val="28"/>
          <w:lang w:val="uk-UA"/>
        </w:rPr>
        <w:t xml:space="preserve"> [1</w:t>
      </w:r>
      <w:r w:rsidRPr="00012F54">
        <w:rPr>
          <w:rFonts w:ascii="Times New Roman" w:hAnsi="Times New Roman"/>
          <w:sz w:val="28"/>
          <w:szCs w:val="28"/>
          <w:lang w:val="uk-UA" w:eastAsia="uk-UA"/>
        </w:rPr>
        <w:t>–</w:t>
      </w:r>
      <w:r w:rsidRPr="00012F54">
        <w:rPr>
          <w:rFonts w:ascii="Times New Roman" w:hAnsi="Times New Roman"/>
          <w:bCs/>
          <w:sz w:val="28"/>
          <w:szCs w:val="28"/>
          <w:lang w:val="uk-UA"/>
        </w:rPr>
        <w:t>4]</w:t>
      </w:r>
      <w:bookmarkEnd w:id="24"/>
      <w:r w:rsidRPr="00012F54">
        <w:rPr>
          <w:rFonts w:ascii="Times New Roman" w:hAnsi="Times New Roman"/>
          <w:bCs/>
          <w:sz w:val="28"/>
          <w:szCs w:val="28"/>
          <w:lang w:val="uk-UA"/>
        </w:rPr>
        <w:t>.</w:t>
      </w:r>
      <w:r w:rsidR="005E0BEE">
        <w:rPr>
          <w:rFonts w:ascii="Times New Roman" w:hAnsi="Times New Roman"/>
          <w:bCs/>
          <w:sz w:val="28"/>
          <w:szCs w:val="28"/>
          <w:lang w:val="uk-UA"/>
        </w:rPr>
        <w:t xml:space="preserve"> Наявний феномен глутаматноїек</w:t>
      </w:r>
      <w:r w:rsidRPr="00012F54">
        <w:rPr>
          <w:rFonts w:ascii="Times New Roman" w:hAnsi="Times New Roman"/>
          <w:bCs/>
          <w:sz w:val="28"/>
          <w:szCs w:val="28"/>
          <w:lang w:val="uk-UA"/>
        </w:rPr>
        <w:t xml:space="preserve">сайтотоксичністі, опосередкований патологічною гіперактивацією NMDA </w:t>
      </w:r>
      <w:r w:rsidRPr="00012F54">
        <w:rPr>
          <w:rFonts w:ascii="Times New Roman" w:hAnsi="Times New Roman"/>
          <w:sz w:val="28"/>
          <w:szCs w:val="28"/>
          <w:lang w:val="uk-UA" w:eastAsia="uk-UA"/>
        </w:rPr>
        <w:t>–</w:t>
      </w:r>
      <w:r w:rsidR="005E0BEE">
        <w:rPr>
          <w:rFonts w:ascii="Times New Roman" w:hAnsi="Times New Roman"/>
          <w:bCs/>
          <w:sz w:val="28"/>
          <w:szCs w:val="28"/>
          <w:lang w:val="uk-UA"/>
        </w:rPr>
        <w:t xml:space="preserve"> рецепто</w:t>
      </w:r>
      <w:r w:rsidRPr="00012F54">
        <w:rPr>
          <w:rFonts w:ascii="Times New Roman" w:hAnsi="Times New Roman"/>
          <w:bCs/>
          <w:sz w:val="28"/>
          <w:szCs w:val="28"/>
          <w:lang w:val="uk-UA"/>
        </w:rPr>
        <w:t>рів, є тригерним механізмом, ініціація якого представляє перспективний вектор для впровадження первинної нейропротекторної терапії [5</w:t>
      </w:r>
      <w:r w:rsidRPr="00012F54">
        <w:rPr>
          <w:rFonts w:ascii="Times New Roman" w:hAnsi="Times New Roman"/>
          <w:sz w:val="28"/>
          <w:szCs w:val="28"/>
          <w:lang w:val="uk-UA" w:eastAsia="uk-UA"/>
        </w:rPr>
        <w:t>–</w:t>
      </w:r>
      <w:r w:rsidRPr="00012F54">
        <w:rPr>
          <w:rFonts w:ascii="Times New Roman" w:hAnsi="Times New Roman"/>
          <w:bCs/>
          <w:sz w:val="28"/>
          <w:szCs w:val="28"/>
          <w:lang w:val="uk-UA"/>
        </w:rPr>
        <w:t>8</w:t>
      </w:r>
      <w:r w:rsidRPr="00012F54">
        <w:rPr>
          <w:rFonts w:ascii="Times New Roman" w:hAnsi="Times New Roman"/>
          <w:sz w:val="28"/>
          <w:szCs w:val="28"/>
          <w:lang w:val="uk-UA"/>
        </w:rPr>
        <w:t>]</w:t>
      </w:r>
      <w:r w:rsidR="005E0BEE">
        <w:rPr>
          <w:rFonts w:ascii="Times New Roman" w:hAnsi="Times New Roman"/>
          <w:sz w:val="28"/>
          <w:szCs w:val="28"/>
          <w:lang w:val="uk-UA"/>
        </w:rPr>
        <w:t>. При доклінічній оцінці органо</w:t>
      </w:r>
      <w:r w:rsidRPr="00012F54">
        <w:rPr>
          <w:rFonts w:ascii="Times New Roman" w:hAnsi="Times New Roman"/>
          <w:sz w:val="28"/>
          <w:szCs w:val="28"/>
          <w:lang w:val="uk-UA"/>
        </w:rPr>
        <w:t>протективних властивостей одного із похідних адамантану</w:t>
      </w:r>
      <w:r w:rsidRPr="00012F54">
        <w:rPr>
          <w:rFonts w:ascii="Times New Roman" w:hAnsi="Times New Roman"/>
          <w:sz w:val="28"/>
          <w:szCs w:val="28"/>
          <w:lang w:val="uk-UA" w:eastAsia="uk-UA"/>
        </w:rPr>
        <w:t>–</w:t>
      </w:r>
      <w:r w:rsidRPr="00012F54">
        <w:rPr>
          <w:rFonts w:ascii="Times New Roman" w:hAnsi="Times New Roman"/>
          <w:sz w:val="28"/>
          <w:szCs w:val="28"/>
          <w:lang w:val="uk-UA"/>
        </w:rPr>
        <w:t>адемолу з’ясовано, що він проявляє модулювальний вплив на поліаміновий сайт NMDA-рецепторів і є їх неповним блокатором із швидкою кіне-тикою «блокади-деблокади». Окрім цього, адемол як антагоніст β-адрено-рецепторів, володіє утеростимулювальним ефектом, що і ст</w:t>
      </w:r>
      <w:r w:rsidR="005E0BEE">
        <w:rPr>
          <w:rFonts w:ascii="Times New Roman" w:hAnsi="Times New Roman"/>
          <w:sz w:val="28"/>
          <w:szCs w:val="28"/>
          <w:lang w:val="uk-UA"/>
        </w:rPr>
        <w:t>ало підґрунтям для його впровад</w:t>
      </w:r>
      <w:r w:rsidRPr="00012F54">
        <w:rPr>
          <w:rFonts w:ascii="Times New Roman" w:hAnsi="Times New Roman"/>
          <w:sz w:val="28"/>
          <w:szCs w:val="28"/>
          <w:lang w:val="uk-UA"/>
        </w:rPr>
        <w:t>ження в якості лікарського засобу, що позитивн</w:t>
      </w:r>
      <w:r w:rsidR="005E0BEE">
        <w:rPr>
          <w:rFonts w:ascii="Times New Roman" w:hAnsi="Times New Roman"/>
          <w:sz w:val="28"/>
          <w:szCs w:val="28"/>
          <w:lang w:val="uk-UA"/>
        </w:rPr>
        <w:t>о впливає на скоротливу спромож</w:t>
      </w:r>
      <w:r w:rsidRPr="00012F54">
        <w:rPr>
          <w:rFonts w:ascii="Times New Roman" w:hAnsi="Times New Roman"/>
          <w:sz w:val="28"/>
          <w:szCs w:val="28"/>
          <w:lang w:val="uk-UA"/>
        </w:rPr>
        <w:t xml:space="preserve">ність матки у породіль. </w:t>
      </w:r>
    </w:p>
    <w:p w:rsidR="00012F54" w:rsidRPr="00012F54" w:rsidRDefault="00012F54" w:rsidP="00B065B6">
      <w:pPr>
        <w:pStyle w:val="a5"/>
        <w:shd w:val="clear" w:color="auto" w:fill="FFFFFF"/>
        <w:tabs>
          <w:tab w:val="left" w:pos="-1080"/>
          <w:tab w:val="left" w:pos="0"/>
          <w:tab w:val="left" w:pos="567"/>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Пізніше, фармакодинамічне досьє адемолу розширилось завдяки відкриттю нових видів активності</w:t>
      </w:r>
      <w:r w:rsidR="005E0BEE">
        <w:rPr>
          <w:rFonts w:ascii="Times New Roman" w:hAnsi="Times New Roman"/>
          <w:sz w:val="28"/>
          <w:szCs w:val="28"/>
          <w:lang w:val="uk-UA"/>
        </w:rPr>
        <w:t>, а саме акто-, кардіо-, нейропротекторної,</w:t>
      </w:r>
      <w:r w:rsidRPr="00012F54">
        <w:rPr>
          <w:rFonts w:ascii="Times New Roman" w:hAnsi="Times New Roman"/>
          <w:sz w:val="28"/>
          <w:szCs w:val="28"/>
          <w:lang w:val="uk-UA"/>
        </w:rPr>
        <w:t xml:space="preserve">ноотропної, аналгетичної, </w:t>
      </w:r>
      <w:r w:rsidRPr="00012F54">
        <w:rPr>
          <w:rFonts w:ascii="Times New Roman" w:hAnsi="Times New Roman"/>
          <w:bCs/>
          <w:sz w:val="28"/>
          <w:szCs w:val="28"/>
          <w:lang w:val="uk-UA"/>
        </w:rPr>
        <w:t>антихолінестеразної, гангліоблокуючої, транквілізуючої та антиамнестичної</w:t>
      </w:r>
      <w:r w:rsidRPr="00012F54">
        <w:rPr>
          <w:rFonts w:ascii="Times New Roman" w:hAnsi="Times New Roman"/>
          <w:sz w:val="28"/>
          <w:szCs w:val="28"/>
          <w:lang w:val="uk-UA"/>
        </w:rPr>
        <w:t xml:space="preserve"> [</w:t>
      </w:r>
      <w:r w:rsidRPr="00012F54">
        <w:rPr>
          <w:rFonts w:ascii="Times New Roman" w:eastAsia="TimesNewRoman" w:hAnsi="Times New Roman"/>
          <w:sz w:val="28"/>
          <w:szCs w:val="28"/>
          <w:lang w:val="uk-UA" w:eastAsia="en-US"/>
        </w:rPr>
        <w:t>10</w:t>
      </w:r>
      <w:r w:rsidRPr="00012F54">
        <w:rPr>
          <w:rFonts w:ascii="Times New Roman" w:hAnsi="Times New Roman"/>
          <w:sz w:val="28"/>
          <w:szCs w:val="28"/>
          <w:lang w:val="uk-UA" w:eastAsia="uk-UA"/>
        </w:rPr>
        <w:t>–</w:t>
      </w:r>
      <w:r w:rsidRPr="00012F54">
        <w:rPr>
          <w:rFonts w:ascii="Times New Roman" w:eastAsia="TimesNewRoman" w:hAnsi="Times New Roman"/>
          <w:sz w:val="28"/>
          <w:szCs w:val="28"/>
          <w:lang w:val="uk-UA" w:eastAsia="en-US"/>
        </w:rPr>
        <w:t>16</w:t>
      </w:r>
      <w:r w:rsidRPr="00012F54">
        <w:rPr>
          <w:rFonts w:ascii="Times New Roman" w:hAnsi="Times New Roman"/>
          <w:sz w:val="28"/>
          <w:szCs w:val="28"/>
          <w:lang w:val="uk-UA"/>
        </w:rPr>
        <w:t>].Узагальнено складові меха</w:t>
      </w:r>
      <w:r w:rsidR="005E0BEE">
        <w:rPr>
          <w:rFonts w:ascii="Times New Roman" w:hAnsi="Times New Roman"/>
          <w:sz w:val="28"/>
          <w:szCs w:val="28"/>
          <w:lang w:val="uk-UA"/>
        </w:rPr>
        <w:t>нізму його захисної дії при іше</w:t>
      </w:r>
      <w:r w:rsidRPr="00012F54">
        <w:rPr>
          <w:rFonts w:ascii="Times New Roman" w:hAnsi="Times New Roman"/>
          <w:sz w:val="28"/>
          <w:szCs w:val="28"/>
          <w:lang w:val="uk-UA"/>
        </w:rPr>
        <w:t>мічному інсульті (ІІ), гіпоксичних станах різного ґенезу, інфаркті міокарда, черепно-мозковій травмі (ЧМТ) та перехідній ішемії (ІР) зорового аналізатора, пов’язано із притаманною для похідного адамантану кориг</w:t>
      </w:r>
      <w:r w:rsidR="005E0BEE">
        <w:rPr>
          <w:rFonts w:ascii="Times New Roman" w:hAnsi="Times New Roman"/>
          <w:sz w:val="28"/>
          <w:szCs w:val="28"/>
          <w:lang w:val="uk-UA"/>
        </w:rPr>
        <w:t>увальною дією на порушений внут</w:t>
      </w:r>
      <w:r w:rsidRPr="00012F54">
        <w:rPr>
          <w:rFonts w:ascii="Times New Roman" w:hAnsi="Times New Roman"/>
          <w:sz w:val="28"/>
          <w:szCs w:val="28"/>
          <w:lang w:val="uk-UA"/>
        </w:rPr>
        <w:t xml:space="preserve">рішньоклітинний гомеостаз метаболічного характеру (енергетичний, вуглеводний, оксидантно-антиоксидантний баланс, обмін монооксиду азоту, нітрозативний стрес, ацидотичний стан) та деструктивні процеси, такі як апоптоз, некроз, проліферація. </w:t>
      </w:r>
    </w:p>
    <w:p w:rsidR="00012F54" w:rsidRPr="00012F54" w:rsidRDefault="00012F54" w:rsidP="00B065B6">
      <w:pPr>
        <w:pStyle w:val="a5"/>
        <w:shd w:val="clear" w:color="auto" w:fill="FFFFFF"/>
        <w:tabs>
          <w:tab w:val="left" w:pos="-1080"/>
          <w:tab w:val="left" w:pos="0"/>
          <w:tab w:val="left" w:pos="567"/>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Наведені дані притаманної адемолунейропротективної активності в умовах ішемічно-гіпоксичного ураження нервової тканини (ІІ), дають підґрунтя та роблять доцільним вивчення аналогічних ефектів у цього препарату і при САК та ВМК.</w:t>
      </w:r>
    </w:p>
    <w:p w:rsidR="005879AB" w:rsidRDefault="005879AB" w:rsidP="00B065B6">
      <w:pPr>
        <w:widowControl w:val="0"/>
        <w:tabs>
          <w:tab w:val="left" w:pos="567"/>
        </w:tabs>
        <w:spacing w:after="0" w:line="360" w:lineRule="auto"/>
        <w:ind w:firstLine="284"/>
        <w:jc w:val="both"/>
        <w:rPr>
          <w:rFonts w:ascii="Times New Roman" w:hAnsi="Times New Roman"/>
          <w:b/>
          <w:bCs/>
          <w:spacing w:val="-4"/>
          <w:sz w:val="28"/>
          <w:szCs w:val="28"/>
          <w:lang w:val="uk-UA"/>
        </w:rPr>
      </w:pPr>
    </w:p>
    <w:p w:rsidR="00012F54" w:rsidRPr="00012F54" w:rsidRDefault="00012F54" w:rsidP="00B065B6">
      <w:pPr>
        <w:widowControl w:val="0"/>
        <w:tabs>
          <w:tab w:val="left" w:pos="567"/>
        </w:tabs>
        <w:spacing w:after="0" w:line="360" w:lineRule="auto"/>
        <w:ind w:firstLine="284"/>
        <w:jc w:val="both"/>
        <w:rPr>
          <w:rFonts w:ascii="Times New Roman" w:hAnsi="Times New Roman"/>
          <w:b/>
          <w:bCs/>
          <w:spacing w:val="-4"/>
          <w:sz w:val="28"/>
          <w:szCs w:val="28"/>
          <w:lang w:val="uk-UA"/>
        </w:rPr>
      </w:pPr>
      <w:r w:rsidRPr="00012F54">
        <w:rPr>
          <w:rFonts w:ascii="Times New Roman" w:hAnsi="Times New Roman"/>
          <w:b/>
          <w:bCs/>
          <w:spacing w:val="-4"/>
          <w:sz w:val="28"/>
          <w:szCs w:val="28"/>
          <w:lang w:val="uk-UA"/>
        </w:rPr>
        <w:lastRenderedPageBreak/>
        <w:t>Зв’язок роботи з науковими програмами, планами, темами</w:t>
      </w:r>
    </w:p>
    <w:p w:rsidR="00012F54" w:rsidRPr="00012F54" w:rsidRDefault="00012F54" w:rsidP="00B065B6">
      <w:pPr>
        <w:widowControl w:val="0"/>
        <w:tabs>
          <w:tab w:val="left" w:pos="0"/>
          <w:tab w:val="left" w:pos="567"/>
        </w:tabs>
        <w:spacing w:after="0" w:line="360" w:lineRule="auto"/>
        <w:ind w:firstLine="284"/>
        <w:jc w:val="both"/>
        <w:rPr>
          <w:rFonts w:ascii="Times New Roman" w:hAnsi="Times New Roman"/>
          <w:color w:val="000000"/>
          <w:sz w:val="28"/>
          <w:szCs w:val="28"/>
          <w:lang w:val="uk-UA"/>
        </w:rPr>
      </w:pPr>
      <w:r w:rsidRPr="00012F54">
        <w:rPr>
          <w:rFonts w:ascii="Times New Roman" w:hAnsi="Times New Roman"/>
          <w:bCs/>
          <w:sz w:val="28"/>
          <w:szCs w:val="28"/>
          <w:lang w:val="uk-UA"/>
        </w:rPr>
        <w:t xml:space="preserve">Робота виконана в межах спільно запланованої науково-дослідної тематики </w:t>
      </w:r>
      <w:r w:rsidRPr="00012F54">
        <w:rPr>
          <w:rFonts w:ascii="Times New Roman" w:hAnsi="Times New Roman"/>
          <w:bCs/>
          <w:spacing w:val="-4"/>
          <w:sz w:val="28"/>
          <w:szCs w:val="28"/>
          <w:lang w:val="uk-UA"/>
        </w:rPr>
        <w:t xml:space="preserve">ННДЛ «Фармадар», кафедри фармакології, біологічної та загальної хімії </w:t>
      </w:r>
      <w:r w:rsidRPr="00012F54">
        <w:rPr>
          <w:rFonts w:ascii="Times New Roman" w:hAnsi="Times New Roman"/>
          <w:sz w:val="28"/>
          <w:szCs w:val="28"/>
          <w:lang w:val="uk-UA"/>
        </w:rPr>
        <w:t>Міністерства охорони здоров’я</w:t>
      </w:r>
      <w:r w:rsidRPr="00012F54">
        <w:rPr>
          <w:rFonts w:ascii="Times New Roman" w:hAnsi="Times New Roman"/>
          <w:bCs/>
          <w:spacing w:val="-4"/>
          <w:sz w:val="28"/>
          <w:szCs w:val="28"/>
          <w:lang w:val="uk-UA"/>
        </w:rPr>
        <w:t xml:space="preserve"> (МОЗ) України </w:t>
      </w:r>
      <w:r w:rsidRPr="00012F54">
        <w:rPr>
          <w:rFonts w:ascii="Times New Roman" w:hAnsi="Times New Roman"/>
          <w:spacing w:val="-4"/>
          <w:sz w:val="28"/>
          <w:szCs w:val="28"/>
          <w:lang w:val="uk-UA"/>
        </w:rPr>
        <w:t xml:space="preserve">«Доклінічна оцінка перспективних органопротекторів», </w:t>
      </w:r>
      <w:r w:rsidRPr="00012F54">
        <w:rPr>
          <w:rFonts w:ascii="Times New Roman" w:hAnsi="Times New Roman"/>
          <w:sz w:val="28"/>
          <w:szCs w:val="28"/>
          <w:lang w:val="uk-UA"/>
        </w:rPr>
        <w:t xml:space="preserve">№ </w:t>
      </w:r>
      <w:r w:rsidR="005E0BEE">
        <w:rPr>
          <w:rFonts w:ascii="Times New Roman" w:hAnsi="Times New Roman"/>
          <w:bCs/>
          <w:spacing w:val="-4"/>
          <w:sz w:val="28"/>
          <w:szCs w:val="28"/>
          <w:lang w:val="uk-UA"/>
        </w:rPr>
        <w:t>дер</w:t>
      </w:r>
      <w:r w:rsidRPr="00012F54">
        <w:rPr>
          <w:rFonts w:ascii="Times New Roman" w:hAnsi="Times New Roman"/>
          <w:bCs/>
          <w:spacing w:val="-4"/>
          <w:sz w:val="28"/>
          <w:szCs w:val="28"/>
          <w:lang w:val="uk-UA"/>
        </w:rPr>
        <w:t>жавної реєстрації 0</w:t>
      </w:r>
      <w:r w:rsidRPr="00012F54">
        <w:rPr>
          <w:rFonts w:ascii="Times New Roman" w:hAnsi="Times New Roman"/>
          <w:spacing w:val="-4"/>
          <w:sz w:val="28"/>
          <w:szCs w:val="28"/>
          <w:lang w:val="uk-UA"/>
        </w:rPr>
        <w:t>0115U007126</w:t>
      </w:r>
      <w:r w:rsidRPr="00012F54">
        <w:rPr>
          <w:rFonts w:ascii="Times New Roman" w:hAnsi="Times New Roman"/>
          <w:bCs/>
          <w:spacing w:val="-4"/>
          <w:sz w:val="28"/>
          <w:szCs w:val="28"/>
          <w:lang w:val="uk-UA"/>
        </w:rPr>
        <w:t xml:space="preserve">; загальної університетської </w:t>
      </w:r>
      <w:r w:rsidR="005E0BEE">
        <w:rPr>
          <w:rFonts w:ascii="Times New Roman" w:hAnsi="Times New Roman"/>
          <w:bCs/>
          <w:sz w:val="28"/>
          <w:szCs w:val="28"/>
          <w:lang w:val="uk-UA"/>
        </w:rPr>
        <w:t>науково-дослідної темати</w:t>
      </w:r>
      <w:r w:rsidRPr="00012F54">
        <w:rPr>
          <w:rFonts w:ascii="Times New Roman" w:hAnsi="Times New Roman"/>
          <w:bCs/>
          <w:sz w:val="28"/>
          <w:szCs w:val="28"/>
          <w:lang w:val="uk-UA"/>
        </w:rPr>
        <w:t>ки</w:t>
      </w:r>
      <w:r w:rsidRPr="00012F54">
        <w:rPr>
          <w:rFonts w:ascii="Times New Roman" w:hAnsi="Times New Roman"/>
          <w:bCs/>
          <w:spacing w:val="-4"/>
          <w:sz w:val="28"/>
          <w:szCs w:val="28"/>
          <w:lang w:val="uk-UA"/>
        </w:rPr>
        <w:t xml:space="preserve"> при кафедрі фармакології </w:t>
      </w:r>
      <w:r w:rsidRPr="00012F54">
        <w:rPr>
          <w:rFonts w:ascii="Times New Roman" w:hAnsi="Times New Roman"/>
          <w:bCs/>
          <w:sz w:val="28"/>
          <w:szCs w:val="28"/>
          <w:lang w:val="uk-UA"/>
        </w:rPr>
        <w:t>«</w:t>
      </w:r>
      <w:r w:rsidRPr="00012F54">
        <w:rPr>
          <w:rFonts w:ascii="Times New Roman" w:hAnsi="Times New Roman"/>
          <w:sz w:val="28"/>
          <w:szCs w:val="28"/>
          <w:lang w:val="uk-UA"/>
        </w:rPr>
        <w:t xml:space="preserve">Пошук та розробка </w:t>
      </w:r>
      <w:r w:rsidR="005E0BEE">
        <w:rPr>
          <w:rFonts w:ascii="Times New Roman" w:hAnsi="Times New Roman"/>
          <w:sz w:val="28"/>
          <w:szCs w:val="28"/>
          <w:lang w:val="uk-UA"/>
        </w:rPr>
        <w:t>нових шляхів фармакологічної ко</w:t>
      </w:r>
      <w:r w:rsidRPr="00012F54">
        <w:rPr>
          <w:rFonts w:ascii="Times New Roman" w:hAnsi="Times New Roman"/>
          <w:sz w:val="28"/>
          <w:szCs w:val="28"/>
          <w:lang w:val="uk-UA"/>
        </w:rPr>
        <w:t xml:space="preserve">рекції порушень при ішемічному ушкодженні мозку та серця в експерименті», № </w:t>
      </w:r>
      <w:r w:rsidR="005E0BEE">
        <w:rPr>
          <w:rFonts w:ascii="Times New Roman" w:hAnsi="Times New Roman"/>
          <w:bCs/>
          <w:spacing w:val="-4"/>
          <w:sz w:val="28"/>
          <w:szCs w:val="28"/>
          <w:lang w:val="uk-UA"/>
        </w:rPr>
        <w:t>дер</w:t>
      </w:r>
      <w:r w:rsidRPr="00012F54">
        <w:rPr>
          <w:rFonts w:ascii="Times New Roman" w:hAnsi="Times New Roman"/>
          <w:bCs/>
          <w:spacing w:val="-4"/>
          <w:sz w:val="28"/>
          <w:szCs w:val="28"/>
          <w:lang w:val="uk-UA"/>
        </w:rPr>
        <w:t>жавної реєстрації</w:t>
      </w:r>
      <w:r w:rsidRPr="00012F54">
        <w:rPr>
          <w:rFonts w:ascii="Times New Roman" w:hAnsi="Times New Roman"/>
          <w:bCs/>
          <w:sz w:val="28"/>
          <w:szCs w:val="28"/>
          <w:lang w:val="uk-UA"/>
        </w:rPr>
        <w:t xml:space="preserve"> 0112U0021939 (</w:t>
      </w:r>
      <w:r w:rsidRPr="00012F54">
        <w:rPr>
          <w:rFonts w:ascii="Times New Roman" w:hAnsi="Times New Roman"/>
          <w:bCs/>
          <w:spacing w:val="-4"/>
          <w:sz w:val="28"/>
          <w:szCs w:val="28"/>
          <w:lang w:val="uk-UA"/>
        </w:rPr>
        <w:t>пошукач є співвиконавцем обох науковий тематик</w:t>
      </w:r>
      <w:r w:rsidRPr="00012F54">
        <w:rPr>
          <w:rFonts w:ascii="Times New Roman" w:hAnsi="Times New Roman"/>
          <w:bCs/>
          <w:sz w:val="28"/>
          <w:szCs w:val="28"/>
          <w:lang w:val="uk-UA"/>
        </w:rPr>
        <w:t>).</w:t>
      </w:r>
    </w:p>
    <w:p w:rsidR="00012F54" w:rsidRPr="00012F54" w:rsidRDefault="00012F54" w:rsidP="00B065B6">
      <w:pPr>
        <w:widowControl w:val="0"/>
        <w:tabs>
          <w:tab w:val="left" w:pos="0"/>
          <w:tab w:val="left" w:pos="567"/>
        </w:tabs>
        <w:spacing w:after="0" w:line="360" w:lineRule="auto"/>
        <w:ind w:firstLine="284"/>
        <w:jc w:val="both"/>
        <w:rPr>
          <w:rFonts w:ascii="Times New Roman" w:hAnsi="Times New Roman"/>
          <w:b/>
          <w:sz w:val="28"/>
          <w:szCs w:val="28"/>
          <w:lang w:val="uk-UA"/>
        </w:rPr>
      </w:pPr>
      <w:r w:rsidRPr="00012F54">
        <w:rPr>
          <w:rFonts w:ascii="Times New Roman" w:hAnsi="Times New Roman"/>
          <w:b/>
          <w:sz w:val="28"/>
          <w:szCs w:val="28"/>
          <w:lang w:val="uk-UA"/>
        </w:rPr>
        <w:t>Мета і завдання дослідження</w:t>
      </w:r>
    </w:p>
    <w:p w:rsidR="00012F54" w:rsidRPr="00012F54" w:rsidRDefault="00030A3E" w:rsidP="00B065B6">
      <w:pPr>
        <w:widowControl w:val="0"/>
        <w:tabs>
          <w:tab w:val="left" w:pos="0"/>
          <w:tab w:val="left" w:pos="567"/>
        </w:tabs>
        <w:spacing w:after="0" w:line="360" w:lineRule="auto"/>
        <w:ind w:firstLine="284"/>
        <w:jc w:val="both"/>
        <w:rPr>
          <w:rFonts w:ascii="Times New Roman" w:hAnsi="Times New Roman"/>
          <w:sz w:val="28"/>
          <w:szCs w:val="28"/>
          <w:lang w:val="uk-UA"/>
        </w:rPr>
      </w:pPr>
      <w:r w:rsidRPr="00030A3E">
        <w:rPr>
          <w:rFonts w:ascii="Times New Roman" w:hAnsi="Times New Roman"/>
          <w:b/>
          <w:iCs/>
          <w:sz w:val="28"/>
          <w:szCs w:val="28"/>
          <w:lang w:val="uk-UA"/>
        </w:rPr>
        <w:t>Мета дослідження</w:t>
      </w:r>
      <w:r w:rsidR="00012F54" w:rsidRPr="00012F54">
        <w:rPr>
          <w:rFonts w:ascii="Times New Roman" w:hAnsi="Times New Roman"/>
          <w:sz w:val="28"/>
          <w:szCs w:val="28"/>
          <w:lang w:val="uk-UA"/>
        </w:rPr>
        <w:t xml:space="preserve"> – експериментально обґрунтувати можливість підвищення ефективності нейропротекції в умовах внутрішньочерепного крововиливу шляхом застосування за новим призначенням розчину блокатора NMDA рецепторів адемолу (1-адамантилтилокси-3-морфоліно-2-пропанолу гідрохлориду).</w:t>
      </w:r>
    </w:p>
    <w:p w:rsidR="00012F54" w:rsidRPr="00030A3E" w:rsidRDefault="00030A3E" w:rsidP="00B065B6">
      <w:pPr>
        <w:widowControl w:val="0"/>
        <w:tabs>
          <w:tab w:val="left" w:pos="0"/>
          <w:tab w:val="left" w:pos="567"/>
        </w:tabs>
        <w:spacing w:after="0" w:line="360" w:lineRule="auto"/>
        <w:ind w:firstLine="284"/>
        <w:jc w:val="both"/>
        <w:rPr>
          <w:rFonts w:ascii="Times New Roman" w:hAnsi="Times New Roman"/>
          <w:b/>
          <w:bCs/>
          <w:iCs/>
          <w:sz w:val="28"/>
          <w:szCs w:val="28"/>
          <w:lang w:val="uk-UA"/>
        </w:rPr>
      </w:pPr>
      <w:r w:rsidRPr="00030A3E">
        <w:rPr>
          <w:rFonts w:ascii="Times New Roman" w:hAnsi="Times New Roman"/>
          <w:b/>
          <w:bCs/>
          <w:iCs/>
          <w:sz w:val="28"/>
          <w:szCs w:val="28"/>
          <w:lang w:val="uk-UA"/>
        </w:rPr>
        <w:t>Завдання дослідження:</w:t>
      </w:r>
    </w:p>
    <w:p w:rsidR="00012F54" w:rsidRPr="00012F54" w:rsidRDefault="00012F54" w:rsidP="00B065B6">
      <w:pPr>
        <w:pStyle w:val="a5"/>
        <w:widowControl w:val="0"/>
        <w:numPr>
          <w:ilvl w:val="0"/>
          <w:numId w:val="3"/>
        </w:numPr>
        <w:tabs>
          <w:tab w:val="left" w:pos="567"/>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eastAsia="en-US"/>
        </w:rPr>
        <w:t xml:space="preserve">Провести скринінгові дослідження церебропротекторної активності </w:t>
      </w:r>
      <w:r w:rsidRPr="00012F54">
        <w:rPr>
          <w:rFonts w:ascii="Times New Roman" w:hAnsi="Times New Roman"/>
          <w:sz w:val="28"/>
          <w:szCs w:val="28"/>
          <w:lang w:val="uk-UA"/>
        </w:rPr>
        <w:t>промислового зразка 1,0 % розчину 1-адамантилтилокси-3-морфоліно-2-пропанолу гідрохлориду</w:t>
      </w:r>
      <w:r w:rsidRPr="00012F54">
        <w:rPr>
          <w:rFonts w:ascii="Times New Roman" w:hAnsi="Times New Roman"/>
          <w:sz w:val="28"/>
          <w:szCs w:val="28"/>
          <w:lang w:val="uk-UA" w:eastAsia="en-US"/>
        </w:rPr>
        <w:t xml:space="preserve">, німодипіну, магнію сульфату та амантадину сульфату </w:t>
      </w:r>
      <w:r w:rsidRPr="00012F54">
        <w:rPr>
          <w:rFonts w:ascii="Times New Roman" w:hAnsi="Times New Roman"/>
          <w:sz w:val="28"/>
          <w:szCs w:val="28"/>
          <w:lang w:val="uk-UA"/>
        </w:rPr>
        <w:t>на моделях субарахноідального та внутрішньомозкового крововиливу у щурів із паралельною оцінкою ступеня важкості субарахноїдального крововиливу в залежності від об’єму крові, введеній у підпавутинний простір.</w:t>
      </w:r>
    </w:p>
    <w:p w:rsidR="00012F54" w:rsidRPr="00012F54" w:rsidRDefault="00012F54" w:rsidP="00B065B6">
      <w:pPr>
        <w:pStyle w:val="a5"/>
        <w:widowControl w:val="0"/>
        <w:numPr>
          <w:ilvl w:val="0"/>
          <w:numId w:val="3"/>
        </w:numPr>
        <w:tabs>
          <w:tab w:val="left" w:pos="567"/>
        </w:tabs>
        <w:spacing w:after="0" w:line="360" w:lineRule="auto"/>
        <w:ind w:left="0" w:firstLine="284"/>
        <w:jc w:val="both"/>
        <w:rPr>
          <w:rFonts w:ascii="Times New Roman" w:hAnsi="Times New Roman"/>
          <w:sz w:val="28"/>
          <w:szCs w:val="28"/>
          <w:lang w:val="uk-UA"/>
        </w:rPr>
      </w:pPr>
      <w:r w:rsidRPr="00012F54">
        <w:rPr>
          <w:rFonts w:ascii="Times New Roman" w:hAnsi="Times New Roman"/>
          <w:bCs/>
          <w:sz w:val="28"/>
          <w:szCs w:val="28"/>
          <w:lang w:val="uk-UA"/>
        </w:rPr>
        <w:t>В</w:t>
      </w:r>
      <w:r w:rsidRPr="00012F54">
        <w:rPr>
          <w:rFonts w:ascii="Times New Roman" w:hAnsi="Times New Roman"/>
          <w:sz w:val="28"/>
          <w:szCs w:val="28"/>
          <w:lang w:val="uk-UA"/>
        </w:rPr>
        <w:t>становити умовно-ефективну органопротекторну до</w:t>
      </w:r>
      <w:r w:rsidR="00C25F9F">
        <w:rPr>
          <w:rFonts w:ascii="Times New Roman" w:hAnsi="Times New Roman"/>
          <w:sz w:val="28"/>
          <w:szCs w:val="28"/>
          <w:lang w:val="uk-UA"/>
        </w:rPr>
        <w:t>зу адемолу на моделях субарахної</w:t>
      </w:r>
      <w:r w:rsidRPr="00012F54">
        <w:rPr>
          <w:rFonts w:ascii="Times New Roman" w:hAnsi="Times New Roman"/>
          <w:sz w:val="28"/>
          <w:szCs w:val="28"/>
          <w:lang w:val="uk-UA"/>
        </w:rPr>
        <w:t xml:space="preserve">дального (САК) та внутрішньомозкового (ВМК) крововиливів </w:t>
      </w:r>
      <w:r w:rsidR="00C25F9F">
        <w:rPr>
          <w:rFonts w:ascii="Times New Roman" w:hAnsi="Times New Roman"/>
          <w:sz w:val="28"/>
          <w:szCs w:val="28"/>
          <w:lang w:val="uk-UA"/>
        </w:rPr>
        <w:t>і визначити перспективність її</w:t>
      </w:r>
      <w:r w:rsidRPr="00012F54">
        <w:rPr>
          <w:rFonts w:ascii="Times New Roman" w:hAnsi="Times New Roman"/>
          <w:sz w:val="28"/>
          <w:szCs w:val="28"/>
          <w:lang w:val="uk-UA"/>
        </w:rPr>
        <w:t xml:space="preserve"> подальшої доклінічної оцінки порівняно з референс-препаратами.</w:t>
      </w:r>
    </w:p>
    <w:p w:rsidR="00012F54" w:rsidRPr="00012F54" w:rsidRDefault="00012F54" w:rsidP="00B065B6">
      <w:pPr>
        <w:pStyle w:val="a5"/>
        <w:widowControl w:val="0"/>
        <w:numPr>
          <w:ilvl w:val="0"/>
          <w:numId w:val="3"/>
        </w:numPr>
        <w:tabs>
          <w:tab w:val="left" w:pos="567"/>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Оцінити вплив адемолу за умов субарахноїдального та внутрішньомозкового крововиливів на динаміку неврологічного дефіциту та мнемотропну активність щурів.</w:t>
      </w:r>
    </w:p>
    <w:p w:rsidR="00012F54" w:rsidRPr="00012F54" w:rsidRDefault="00012F54" w:rsidP="00B065B6">
      <w:pPr>
        <w:pStyle w:val="a5"/>
        <w:widowControl w:val="0"/>
        <w:numPr>
          <w:ilvl w:val="0"/>
          <w:numId w:val="3"/>
        </w:numPr>
        <w:tabs>
          <w:tab w:val="left" w:pos="567"/>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Вивчити вплив адемолу на церебральну і системну гемодинаміку та зміни внутрішньочерепного тиску на моделях внутіршньочерепного крововиливу у щурів.</w:t>
      </w:r>
    </w:p>
    <w:p w:rsidR="00012F54" w:rsidRPr="00012F54" w:rsidRDefault="00012F54" w:rsidP="00B065B6">
      <w:pPr>
        <w:pStyle w:val="a5"/>
        <w:widowControl w:val="0"/>
        <w:numPr>
          <w:ilvl w:val="0"/>
          <w:numId w:val="3"/>
        </w:numPr>
        <w:tabs>
          <w:tab w:val="left" w:pos="567"/>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 xml:space="preserve">На тлі експериментального внутрішньочерепного крововиливу оцінити зміни </w:t>
      </w:r>
      <w:r w:rsidRPr="00012F54">
        <w:rPr>
          <w:rFonts w:ascii="Times New Roman" w:hAnsi="Times New Roman"/>
          <w:sz w:val="28"/>
          <w:szCs w:val="28"/>
          <w:lang w:val="uk-UA"/>
        </w:rPr>
        <w:lastRenderedPageBreak/>
        <w:t xml:space="preserve">гістологічної будови мозку, а також охарактеризувати морфологічні маркери церебропротекторної дії адемолу - процеси нейроцитолізу, нейроапоптозу та нейропроліферації. </w:t>
      </w:r>
    </w:p>
    <w:p w:rsidR="00012F54" w:rsidRPr="00012F54" w:rsidRDefault="00012F54" w:rsidP="00B065B6">
      <w:pPr>
        <w:pStyle w:val="a5"/>
        <w:widowControl w:val="0"/>
        <w:numPr>
          <w:ilvl w:val="0"/>
          <w:numId w:val="3"/>
        </w:numPr>
        <w:tabs>
          <w:tab w:val="left" w:pos="0"/>
          <w:tab w:val="left" w:pos="567"/>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З’ясувати внутрішньоклітинні метаболітотропні механізми  церебропротекторної дії адемолу за критеріями впливу на енергетичний  метаболізм, оксидантно-антиоксидантний баланс, обмін монооксиду азоту та формування глутаматної та стероїдної нейротоксичності в головному мозку щурів за експериментального внутрішньочерепного крововиливу.</w:t>
      </w:r>
    </w:p>
    <w:p w:rsidR="00012F54" w:rsidRPr="00012F54" w:rsidRDefault="00012F54" w:rsidP="00B065B6">
      <w:pPr>
        <w:pStyle w:val="a5"/>
        <w:widowControl w:val="0"/>
        <w:tabs>
          <w:tab w:val="left" w:pos="0"/>
          <w:tab w:val="left" w:pos="567"/>
        </w:tabs>
        <w:spacing w:after="0" w:line="360" w:lineRule="auto"/>
        <w:ind w:left="0" w:firstLine="284"/>
        <w:jc w:val="both"/>
        <w:rPr>
          <w:rFonts w:ascii="Times New Roman" w:hAnsi="Times New Roman"/>
          <w:sz w:val="28"/>
          <w:szCs w:val="28"/>
          <w:lang w:val="uk-UA"/>
        </w:rPr>
      </w:pPr>
      <w:r w:rsidRPr="00030A3E">
        <w:rPr>
          <w:rFonts w:ascii="Times New Roman" w:hAnsi="Times New Roman"/>
          <w:bCs/>
          <w:i/>
          <w:iCs/>
          <w:sz w:val="28"/>
          <w:szCs w:val="28"/>
          <w:lang w:val="uk-UA"/>
        </w:rPr>
        <w:t>Об’єкт дослідження:</w:t>
      </w:r>
      <w:r w:rsidRPr="00012F54">
        <w:rPr>
          <w:rFonts w:ascii="Times New Roman" w:hAnsi="Times New Roman"/>
          <w:sz w:val="28"/>
          <w:szCs w:val="28"/>
          <w:lang w:val="uk-UA"/>
        </w:rPr>
        <w:t>фармакологічна корекція уражень головного мозку за внурішньочерепного крововиливу.</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30A3E">
        <w:rPr>
          <w:rFonts w:ascii="Times New Roman" w:hAnsi="Times New Roman"/>
          <w:i/>
          <w:sz w:val="28"/>
          <w:szCs w:val="28"/>
          <w:lang w:val="uk-UA"/>
        </w:rPr>
        <w:t>Предмет дослідження:</w:t>
      </w:r>
      <w:r w:rsidRPr="00012F54">
        <w:rPr>
          <w:rFonts w:ascii="Times New Roman" w:hAnsi="Times New Roman"/>
          <w:sz w:val="28"/>
          <w:szCs w:val="28"/>
          <w:lang w:val="uk-UA"/>
        </w:rPr>
        <w:t>церебропротекторні властивості адемолу на мод</w:t>
      </w:r>
      <w:r w:rsidR="00C25F9F">
        <w:rPr>
          <w:rFonts w:ascii="Times New Roman" w:hAnsi="Times New Roman"/>
          <w:sz w:val="28"/>
          <w:szCs w:val="28"/>
          <w:lang w:val="uk-UA"/>
        </w:rPr>
        <w:t>елях експериментальної субарахнї</w:t>
      </w:r>
      <w:r w:rsidRPr="00012F54">
        <w:rPr>
          <w:rFonts w:ascii="Times New Roman" w:hAnsi="Times New Roman"/>
          <w:sz w:val="28"/>
          <w:szCs w:val="28"/>
          <w:lang w:val="uk-UA"/>
        </w:rPr>
        <w:t>дальної та внутрішньомозковоїгеморагії</w:t>
      </w:r>
    </w:p>
    <w:p w:rsidR="00012F54" w:rsidRPr="00012F54" w:rsidRDefault="00012F54" w:rsidP="00B065B6">
      <w:pPr>
        <w:widowControl w:val="0"/>
        <w:shd w:val="clear" w:color="auto" w:fill="FFFFFF"/>
        <w:tabs>
          <w:tab w:val="left" w:pos="0"/>
          <w:tab w:val="left" w:pos="567"/>
        </w:tabs>
        <w:spacing w:after="0" w:line="360" w:lineRule="auto"/>
        <w:ind w:firstLine="284"/>
        <w:jc w:val="both"/>
        <w:rPr>
          <w:rFonts w:ascii="Times New Roman" w:hAnsi="Times New Roman"/>
          <w:b/>
          <w:spacing w:val="-4"/>
          <w:sz w:val="28"/>
          <w:szCs w:val="28"/>
          <w:lang w:val="uk-UA"/>
        </w:rPr>
      </w:pPr>
      <w:r w:rsidRPr="00012F54">
        <w:rPr>
          <w:rFonts w:ascii="Times New Roman" w:hAnsi="Times New Roman"/>
          <w:b/>
          <w:spacing w:val="-4"/>
          <w:sz w:val="28"/>
          <w:szCs w:val="28"/>
          <w:lang w:val="uk-UA"/>
        </w:rPr>
        <w:t>Наукова новизна одержаних результатів</w:t>
      </w:r>
    </w:p>
    <w:p w:rsidR="00012F54" w:rsidRPr="00012F54" w:rsidRDefault="00012F54" w:rsidP="00B065B6">
      <w:pPr>
        <w:widowControl w:val="0"/>
        <w:shd w:val="clear" w:color="auto" w:fill="FFFFFF"/>
        <w:spacing w:after="0" w:line="360" w:lineRule="auto"/>
        <w:ind w:firstLine="284"/>
        <w:jc w:val="both"/>
        <w:rPr>
          <w:rFonts w:ascii="Times New Roman" w:hAnsi="Times New Roman"/>
          <w:sz w:val="28"/>
          <w:szCs w:val="28"/>
          <w:lang w:val="uk-UA"/>
        </w:rPr>
      </w:pPr>
      <w:r w:rsidRPr="00012F54">
        <w:rPr>
          <w:rFonts w:ascii="Times New Roman" w:hAnsi="Times New Roman"/>
          <w:spacing w:val="-4"/>
          <w:sz w:val="28"/>
          <w:szCs w:val="28"/>
          <w:lang w:val="uk-UA"/>
        </w:rPr>
        <w:t>Уперше надано оцінку ефективності промислового зразка адемолу у вигляді розчину за новим призначенням, а саме як нейропротекторного засобу при експериментальному внутрішньомозковому крововиливі різної локалізаці</w:t>
      </w:r>
      <w:r w:rsidR="009D243A">
        <w:rPr>
          <w:rFonts w:ascii="Times New Roman" w:hAnsi="Times New Roman"/>
          <w:spacing w:val="-4"/>
          <w:sz w:val="28"/>
          <w:szCs w:val="28"/>
          <w:lang w:val="uk-UA"/>
        </w:rPr>
        <w:t>ї</w:t>
      </w:r>
      <w:r w:rsidRPr="00012F54">
        <w:rPr>
          <w:rFonts w:ascii="Times New Roman" w:hAnsi="Times New Roman"/>
          <w:spacing w:val="-4"/>
          <w:sz w:val="28"/>
          <w:szCs w:val="28"/>
          <w:lang w:val="uk-UA"/>
        </w:rPr>
        <w:t xml:space="preserve"> – субарахно</w:t>
      </w:r>
      <w:r w:rsidR="009D243A">
        <w:rPr>
          <w:rFonts w:ascii="Times New Roman" w:hAnsi="Times New Roman"/>
          <w:spacing w:val="-4"/>
          <w:sz w:val="28"/>
          <w:szCs w:val="28"/>
          <w:lang w:val="uk-UA"/>
        </w:rPr>
        <w:t>ї</w:t>
      </w:r>
      <w:r w:rsidRPr="00012F54">
        <w:rPr>
          <w:rFonts w:ascii="Times New Roman" w:hAnsi="Times New Roman"/>
          <w:spacing w:val="-4"/>
          <w:sz w:val="28"/>
          <w:szCs w:val="28"/>
          <w:lang w:val="uk-UA"/>
        </w:rPr>
        <w:t>дальному та внутрішньомозковому</w:t>
      </w:r>
      <w:r w:rsidRPr="00012F54">
        <w:rPr>
          <w:rFonts w:ascii="Times New Roman" w:hAnsi="Times New Roman"/>
          <w:sz w:val="28"/>
          <w:szCs w:val="28"/>
          <w:lang w:val="uk-UA"/>
        </w:rPr>
        <w:t xml:space="preserve">. </w:t>
      </w:r>
    </w:p>
    <w:p w:rsidR="00012F54" w:rsidRPr="00012F54" w:rsidRDefault="00012F54" w:rsidP="00B065B6">
      <w:pPr>
        <w:widowControl w:val="0"/>
        <w:shd w:val="clear" w:color="auto" w:fill="FFFFFF"/>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Вперше на доклінічному етапі із використанням специфічних чутливих сироваткових маркерів, що віддзеркалюють морфологічну цілісність нейронів, встановлено умовно-ефективну нейропротекторну дозу адемолу в умовах внутрішньочерепного крововиливу, яка становила 2 мг/кг. </w:t>
      </w:r>
    </w:p>
    <w:p w:rsidR="00012F54" w:rsidRPr="00012F54" w:rsidRDefault="00012F54" w:rsidP="00B065B6">
      <w:pPr>
        <w:widowControl w:val="0"/>
        <w:shd w:val="clear" w:color="auto" w:fill="FFFFFF"/>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Вперше охарактеризовано механізми церебропротекторної дії адемолу при крововиливі у мозок, які окрім спроможності препарату послаблювати процеси нейроцитолізу, нейроапоптозу та нейропроліферації, ґрунтуються на його здатності покращувати </w:t>
      </w:r>
      <w:r w:rsidR="0010205E">
        <w:rPr>
          <w:rFonts w:ascii="Times New Roman" w:hAnsi="Times New Roman"/>
          <w:sz w:val="28"/>
          <w:szCs w:val="28"/>
          <w:lang w:val="uk-UA"/>
        </w:rPr>
        <w:t>церебральну перфузію, знижувати</w:t>
      </w:r>
      <w:r w:rsidRPr="00012F54">
        <w:rPr>
          <w:rFonts w:ascii="Times New Roman" w:hAnsi="Times New Roman"/>
          <w:sz w:val="28"/>
          <w:szCs w:val="28"/>
          <w:lang w:val="uk-UA"/>
        </w:rPr>
        <w:t xml:space="preserve"> ВЧТ, прояви глутаматної та стероїдної нейротоксичності, ліквідувати енергодефіцит мозку, оксидативний та нітрозативний стрес, зменшувати лактат-ацидоз. </w:t>
      </w:r>
    </w:p>
    <w:p w:rsidR="00012F54" w:rsidRPr="00012F54" w:rsidRDefault="00012F54" w:rsidP="00B065B6">
      <w:pPr>
        <w:widowControl w:val="0"/>
        <w:shd w:val="clear" w:color="auto" w:fill="FFFFFF"/>
        <w:tabs>
          <w:tab w:val="left" w:pos="0"/>
          <w:tab w:val="left" w:pos="567"/>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Отримані в роботі результати щодо фармакодинамікиадемолу за умов внутрішньочерепного крововиливу доповнюють наукові дані про ефективність препарату за умов ішемічних уражень головного мозку, що є теоретичним підгрунтям для подальших клінічних досліджень адемолу в якості </w:t>
      </w:r>
      <w:r w:rsidRPr="00012F54">
        <w:rPr>
          <w:rFonts w:ascii="Times New Roman" w:hAnsi="Times New Roman"/>
          <w:sz w:val="28"/>
          <w:szCs w:val="28"/>
          <w:lang w:val="uk-UA"/>
        </w:rPr>
        <w:lastRenderedPageBreak/>
        <w:t>церебропротекторного засобу на етапі недиференційованого лікування судинних мозкових катастроф.</w:t>
      </w:r>
    </w:p>
    <w:p w:rsidR="00012F54" w:rsidRPr="00012F54" w:rsidRDefault="00012F54" w:rsidP="00B065B6">
      <w:pPr>
        <w:widowControl w:val="0"/>
        <w:shd w:val="clear" w:color="auto" w:fill="FFFFFF"/>
        <w:tabs>
          <w:tab w:val="left" w:pos="0"/>
          <w:tab w:val="left" w:pos="567"/>
        </w:tabs>
        <w:spacing w:after="0" w:line="360" w:lineRule="auto"/>
        <w:ind w:firstLine="284"/>
        <w:jc w:val="both"/>
        <w:rPr>
          <w:rFonts w:ascii="Times New Roman" w:hAnsi="Times New Roman"/>
          <w:b/>
          <w:sz w:val="28"/>
          <w:szCs w:val="28"/>
          <w:lang w:val="uk-UA"/>
        </w:rPr>
      </w:pPr>
      <w:bookmarkStart w:id="25" w:name="_Hlk484128707"/>
      <w:r w:rsidRPr="00012F54">
        <w:rPr>
          <w:rFonts w:ascii="Times New Roman" w:hAnsi="Times New Roman"/>
          <w:b/>
          <w:sz w:val="28"/>
          <w:szCs w:val="28"/>
          <w:lang w:val="uk-UA"/>
        </w:rPr>
        <w:t>Практичне значення одержаних результатів</w:t>
      </w:r>
    </w:p>
    <w:bookmarkEnd w:id="25"/>
    <w:p w:rsidR="00012F54" w:rsidRPr="00012F54" w:rsidRDefault="00012F54" w:rsidP="00B065B6">
      <w:pPr>
        <w:shd w:val="clear" w:color="auto" w:fill="FFFFFF"/>
        <w:spacing w:after="0" w:line="360" w:lineRule="auto"/>
        <w:ind w:firstLine="284"/>
        <w:jc w:val="both"/>
        <w:rPr>
          <w:rFonts w:ascii="Times New Roman" w:hAnsi="Times New Roman"/>
          <w:bCs/>
          <w:iCs/>
          <w:sz w:val="28"/>
          <w:szCs w:val="28"/>
          <w:shd w:val="clear" w:color="auto" w:fill="FFFFFF"/>
          <w:lang w:val="uk-UA"/>
        </w:rPr>
      </w:pPr>
      <w:r w:rsidRPr="00012F54">
        <w:rPr>
          <w:rFonts w:ascii="Times New Roman" w:hAnsi="Times New Roman"/>
          <w:sz w:val="28"/>
          <w:szCs w:val="28"/>
          <w:lang w:val="uk-UA"/>
        </w:rPr>
        <w:t xml:space="preserve">Поглиблено існуючі уявлення про фармакодинамікуадемолу, експериментально </w:t>
      </w:r>
      <w:r w:rsidRPr="00012F54">
        <w:rPr>
          <w:rFonts w:ascii="Times New Roman" w:hAnsi="Times New Roman"/>
          <w:bCs/>
          <w:sz w:val="28"/>
          <w:szCs w:val="28"/>
          <w:lang w:val="uk-UA"/>
        </w:rPr>
        <w:t>доведено можливість корекції нейродеструктивних змін при внутрішньочерепній геморагії за допомогою інгібітораполіамінового сайту адемолу</w:t>
      </w:r>
      <w:r w:rsidRPr="00012F54">
        <w:rPr>
          <w:rFonts w:ascii="Times New Roman" w:hAnsi="Times New Roman"/>
          <w:sz w:val="28"/>
          <w:szCs w:val="28"/>
          <w:lang w:val="uk-UA"/>
        </w:rPr>
        <w:t>. Розширено теоретичні</w:t>
      </w:r>
      <w:r w:rsidR="002E7D9C">
        <w:rPr>
          <w:rFonts w:ascii="Times New Roman" w:hAnsi="Times New Roman"/>
          <w:sz w:val="28"/>
          <w:szCs w:val="28"/>
          <w:lang w:val="uk-UA"/>
        </w:rPr>
        <w:t xml:space="preserve"> уявлення про діагностичну роль таких</w:t>
      </w:r>
      <w:r w:rsidRPr="00012F54">
        <w:rPr>
          <w:rFonts w:ascii="Times New Roman" w:hAnsi="Times New Roman"/>
          <w:sz w:val="28"/>
          <w:szCs w:val="28"/>
          <w:lang w:val="uk-UA"/>
        </w:rPr>
        <w:t xml:space="preserve"> сироваткових нейромаркерів як </w:t>
      </w:r>
      <w:r w:rsidRPr="00012F54">
        <w:rPr>
          <w:rFonts w:ascii="Times New Roman" w:hAnsi="Times New Roman"/>
          <w:bCs/>
          <w:sz w:val="28"/>
          <w:szCs w:val="28"/>
          <w:lang w:val="en-US"/>
        </w:rPr>
        <w:t>NSE</w:t>
      </w:r>
      <w:r w:rsidRPr="00012F54">
        <w:rPr>
          <w:rFonts w:ascii="Times New Roman" w:hAnsi="Times New Roman"/>
          <w:bCs/>
          <w:sz w:val="28"/>
          <w:szCs w:val="28"/>
          <w:lang w:val="uk-UA"/>
        </w:rPr>
        <w:t xml:space="preserve"> та </w:t>
      </w:r>
      <w:r w:rsidRPr="00012F54">
        <w:rPr>
          <w:rFonts w:ascii="Times New Roman" w:hAnsi="Times New Roman"/>
          <w:sz w:val="28"/>
          <w:szCs w:val="28"/>
          <w:lang w:val="uk-UA"/>
        </w:rPr>
        <w:t xml:space="preserve">білок </w:t>
      </w:r>
      <w:r w:rsidRPr="00012F54">
        <w:rPr>
          <w:rFonts w:ascii="Times New Roman" w:hAnsi="Times New Roman"/>
          <w:sz w:val="28"/>
          <w:szCs w:val="28"/>
        </w:rPr>
        <w:t>S</w:t>
      </w:r>
      <w:r w:rsidRPr="00012F54">
        <w:rPr>
          <w:rFonts w:ascii="Times New Roman" w:hAnsi="Times New Roman"/>
          <w:sz w:val="28"/>
          <w:szCs w:val="28"/>
          <w:lang w:val="uk-UA"/>
        </w:rPr>
        <w:t xml:space="preserve">100 для експрес діагностики наявності та масштабу деструктивно-дегенеративних змін у мозку при геморагічному інсульті. </w:t>
      </w:r>
    </w:p>
    <w:p w:rsidR="00012F54" w:rsidRPr="00012F54" w:rsidRDefault="009D243A" w:rsidP="00B065B6">
      <w:pPr>
        <w:spacing w:after="0" w:line="360" w:lineRule="auto"/>
        <w:ind w:firstLine="284"/>
        <w:jc w:val="both"/>
        <w:rPr>
          <w:rFonts w:ascii="Times New Roman" w:hAnsi="Times New Roman"/>
          <w:sz w:val="28"/>
          <w:szCs w:val="28"/>
          <w:lang w:val="uk-UA"/>
        </w:rPr>
      </w:pPr>
      <w:r>
        <w:rPr>
          <w:rFonts w:ascii="Times New Roman" w:hAnsi="Times New Roman"/>
          <w:sz w:val="28"/>
          <w:szCs w:val="28"/>
          <w:lang w:val="uk-UA"/>
        </w:rPr>
        <w:t xml:space="preserve">На базі потужностей ПрАТ </w:t>
      </w:r>
      <w:r w:rsidR="00012F54" w:rsidRPr="00012F54">
        <w:rPr>
          <w:rFonts w:ascii="Times New Roman" w:hAnsi="Times New Roman"/>
          <w:sz w:val="28"/>
          <w:szCs w:val="28"/>
          <w:lang w:val="uk-UA"/>
        </w:rPr>
        <w:t>Фармацевтична фірма «Дарниця», згідно результатів, що були отримані пошукачем у ході докл</w:t>
      </w:r>
      <w:r>
        <w:rPr>
          <w:rFonts w:ascii="Times New Roman" w:hAnsi="Times New Roman"/>
          <w:sz w:val="28"/>
          <w:szCs w:val="28"/>
          <w:lang w:val="uk-UA"/>
        </w:rPr>
        <w:t>інічних досліджень в рамках її</w:t>
      </w:r>
      <w:r w:rsidR="00012F54" w:rsidRPr="00012F54">
        <w:rPr>
          <w:rFonts w:ascii="Times New Roman" w:hAnsi="Times New Roman"/>
          <w:sz w:val="28"/>
          <w:szCs w:val="28"/>
          <w:lang w:val="uk-UA"/>
        </w:rPr>
        <w:t xml:space="preserve"> дисертаційної роботи, виконується практичне впровадження цього лікарського засобу в якості церебропротектора у вигля</w:t>
      </w:r>
      <w:r>
        <w:rPr>
          <w:rFonts w:ascii="Times New Roman" w:hAnsi="Times New Roman"/>
          <w:sz w:val="28"/>
          <w:szCs w:val="28"/>
          <w:lang w:val="uk-UA"/>
        </w:rPr>
        <w:t xml:space="preserve">ді 1,0% розчину (наказ по ПрАТ </w:t>
      </w:r>
      <w:r w:rsidR="00012F54" w:rsidRPr="00012F54">
        <w:rPr>
          <w:rFonts w:ascii="Times New Roman" w:hAnsi="Times New Roman"/>
          <w:sz w:val="28"/>
          <w:szCs w:val="28"/>
          <w:lang w:val="uk-UA"/>
        </w:rPr>
        <w:t>Фармацевтична фірма «Дарниця» від 14.12.2017 р. № 1217/14-01).</w:t>
      </w:r>
    </w:p>
    <w:p w:rsidR="00012F54" w:rsidRPr="00012F54" w:rsidRDefault="00012F54" w:rsidP="00B065B6">
      <w:pPr>
        <w:widowControl w:val="0"/>
        <w:tabs>
          <w:tab w:val="left" w:pos="0"/>
          <w:tab w:val="left" w:pos="567"/>
        </w:tabs>
        <w:spacing w:after="0" w:line="360" w:lineRule="auto"/>
        <w:ind w:firstLine="284"/>
        <w:jc w:val="both"/>
        <w:rPr>
          <w:rFonts w:ascii="Times New Roman" w:hAnsi="Times New Roman"/>
          <w:sz w:val="28"/>
          <w:szCs w:val="28"/>
          <w:lang w:val="uk-UA"/>
        </w:rPr>
      </w:pPr>
      <w:r w:rsidRPr="00012F54">
        <w:rPr>
          <w:rFonts w:ascii="Times New Roman" w:hAnsi="Times New Roman"/>
          <w:spacing w:val="-4"/>
          <w:sz w:val="28"/>
          <w:szCs w:val="28"/>
          <w:lang w:val="uk-UA"/>
        </w:rPr>
        <w:t xml:space="preserve">Результати впроваджено у науково-педагогічний процес кафедри </w:t>
      </w:r>
      <w:r w:rsidRPr="00012F54">
        <w:rPr>
          <w:rFonts w:ascii="Times New Roman" w:hAnsi="Times New Roman"/>
          <w:sz w:val="28"/>
          <w:szCs w:val="28"/>
          <w:lang w:val="uk-UA"/>
        </w:rPr>
        <w:t xml:space="preserve">клінічної </w:t>
      </w:r>
      <w:r w:rsidRPr="00012F54">
        <w:rPr>
          <w:rFonts w:ascii="Times New Roman" w:hAnsi="Times New Roman"/>
          <w:iCs/>
          <w:sz w:val="28"/>
          <w:szCs w:val="28"/>
          <w:lang w:val="uk-UA"/>
        </w:rPr>
        <w:t>фармакології</w:t>
      </w:r>
      <w:r w:rsidRPr="00F640A0">
        <w:rPr>
          <w:rStyle w:val="a9"/>
          <w:rFonts w:ascii="Times New Roman" w:hAnsi="Times New Roman"/>
          <w:bCs/>
          <w:i w:val="0"/>
          <w:sz w:val="28"/>
          <w:szCs w:val="28"/>
          <w:shd w:val="clear" w:color="auto" w:fill="FFFFFF"/>
          <w:lang w:val="uk-UA"/>
        </w:rPr>
        <w:t>та клінічної фармації</w:t>
      </w:r>
      <w:r w:rsidRPr="00012F54">
        <w:rPr>
          <w:rFonts w:ascii="Times New Roman" w:hAnsi="Times New Roman"/>
          <w:sz w:val="28"/>
          <w:szCs w:val="28"/>
          <w:lang w:val="uk-UA"/>
        </w:rPr>
        <w:t>Національного фармацевтичного університету, кафедри біохімії та медичної хімії ДЗ «Дніпропетровська медична академія МОЗ України», кафедри фармакології Одеського національного медичного університету, кафедри фармакології з клінічною фармакологією Тернопільського державного медичного університету імені І.Я. Горбачевського, навчальному та лікувально-діагностичному процесі кафедри офтальмології Національної медичної академії післядипломної освіти імені П. Л. Шупіка.</w:t>
      </w:r>
    </w:p>
    <w:p w:rsidR="00012F54" w:rsidRPr="00012F54" w:rsidRDefault="00012F54" w:rsidP="00B065B6">
      <w:pPr>
        <w:widowControl w:val="0"/>
        <w:tabs>
          <w:tab w:val="left" w:pos="0"/>
          <w:tab w:val="left" w:pos="567"/>
        </w:tabs>
        <w:spacing w:after="0" w:line="360" w:lineRule="auto"/>
        <w:ind w:firstLine="284"/>
        <w:jc w:val="both"/>
        <w:rPr>
          <w:rFonts w:ascii="Times New Roman" w:hAnsi="Times New Roman"/>
          <w:b/>
          <w:spacing w:val="-6"/>
          <w:sz w:val="28"/>
          <w:szCs w:val="28"/>
          <w:lang w:val="uk-UA"/>
        </w:rPr>
      </w:pPr>
      <w:r w:rsidRPr="00012F54">
        <w:rPr>
          <w:rFonts w:ascii="Times New Roman" w:hAnsi="Times New Roman"/>
          <w:b/>
          <w:spacing w:val="-6"/>
          <w:sz w:val="28"/>
          <w:szCs w:val="28"/>
          <w:lang w:val="uk-UA"/>
        </w:rPr>
        <w:t>Особистий внесок здобувача</w:t>
      </w:r>
    </w:p>
    <w:p w:rsidR="00012F54" w:rsidRPr="00012F54" w:rsidRDefault="00012F54" w:rsidP="00B065B6">
      <w:pPr>
        <w:widowControl w:val="0"/>
        <w:tabs>
          <w:tab w:val="left" w:pos="0"/>
          <w:tab w:val="left" w:pos="567"/>
        </w:tabs>
        <w:spacing w:after="0" w:line="360" w:lineRule="auto"/>
        <w:ind w:firstLine="284"/>
        <w:jc w:val="both"/>
        <w:rPr>
          <w:rFonts w:ascii="Times New Roman" w:hAnsi="Times New Roman"/>
          <w:spacing w:val="-6"/>
          <w:sz w:val="28"/>
          <w:szCs w:val="28"/>
          <w:lang w:val="uk-UA"/>
        </w:rPr>
      </w:pPr>
      <w:r w:rsidRPr="00012F54">
        <w:rPr>
          <w:rFonts w:ascii="Times New Roman" w:hAnsi="Times New Roman"/>
          <w:spacing w:val="-6"/>
          <w:sz w:val="28"/>
          <w:szCs w:val="28"/>
          <w:lang w:val="uk-UA"/>
        </w:rPr>
        <w:t xml:space="preserve">Здобувачка особисто виконала патентно-інформаційний пошук, здійснила огляд літературних джерел за темою наукового дослідження, сумісно із науковим керівником намітила та охарактеризувала мету й задачі, обрала методики дослідження. </w:t>
      </w:r>
      <w:bookmarkStart w:id="26" w:name="_Hlk485562186"/>
      <w:bookmarkStart w:id="27" w:name="_Hlk485561824"/>
      <w:r w:rsidRPr="00012F54">
        <w:rPr>
          <w:rFonts w:ascii="Times New Roman" w:hAnsi="Times New Roman"/>
          <w:spacing w:val="-6"/>
          <w:sz w:val="28"/>
          <w:szCs w:val="28"/>
          <w:lang w:val="uk-UA"/>
        </w:rPr>
        <w:t xml:space="preserve">Опанувала загальноприйняті моделі по відтворенню геморагічного ураження </w:t>
      </w:r>
      <w:bookmarkEnd w:id="26"/>
      <w:r w:rsidRPr="00012F54">
        <w:rPr>
          <w:rFonts w:ascii="Times New Roman" w:hAnsi="Times New Roman"/>
          <w:spacing w:val="-6"/>
          <w:sz w:val="28"/>
          <w:szCs w:val="28"/>
          <w:lang w:val="uk-UA"/>
        </w:rPr>
        <w:t>мозку, у співавторстві апро</w:t>
      </w:r>
      <w:r w:rsidR="002E7D9C">
        <w:rPr>
          <w:rFonts w:ascii="Times New Roman" w:hAnsi="Times New Roman"/>
          <w:spacing w:val="-6"/>
          <w:sz w:val="28"/>
          <w:szCs w:val="28"/>
          <w:lang w:val="uk-UA"/>
        </w:rPr>
        <w:t>бувала модель інтракраніального</w:t>
      </w:r>
      <w:r w:rsidRPr="00012F54">
        <w:rPr>
          <w:rFonts w:ascii="Times New Roman" w:hAnsi="Times New Roman"/>
          <w:spacing w:val="-6"/>
          <w:sz w:val="28"/>
          <w:szCs w:val="28"/>
          <w:lang w:val="uk-UA"/>
        </w:rPr>
        <w:t xml:space="preserve"> крововиливу, засвоїла методики фармакологічних, біохімічних, функціональних та цитометричних досліджень, після чого самостійно провела дослідну частину роботи.</w:t>
      </w:r>
      <w:bookmarkEnd w:id="27"/>
      <w:r w:rsidRPr="00012F54">
        <w:rPr>
          <w:rFonts w:ascii="Times New Roman" w:hAnsi="Times New Roman"/>
          <w:spacing w:val="-6"/>
          <w:sz w:val="28"/>
          <w:szCs w:val="28"/>
          <w:lang w:val="uk-UA"/>
        </w:rPr>
        <w:t xml:space="preserve">, виконала статистичну обробку цифрових даних, підготувала розділи дисертації, у т.ч. частину, присвячену узагальнню та обговоренню </w:t>
      </w:r>
      <w:r w:rsidRPr="00012F54">
        <w:rPr>
          <w:rFonts w:ascii="Times New Roman" w:hAnsi="Times New Roman"/>
          <w:spacing w:val="-6"/>
          <w:sz w:val="28"/>
          <w:szCs w:val="28"/>
          <w:lang w:val="uk-UA"/>
        </w:rPr>
        <w:lastRenderedPageBreak/>
        <w:t>отриманого фак</w:t>
      </w:r>
      <w:r w:rsidR="002E7D9C">
        <w:rPr>
          <w:rFonts w:ascii="Times New Roman" w:hAnsi="Times New Roman"/>
          <w:spacing w:val="-6"/>
          <w:sz w:val="28"/>
          <w:szCs w:val="28"/>
          <w:lang w:val="uk-UA"/>
        </w:rPr>
        <w:t>тичного матеріалу,окреслила висновки та підготувала</w:t>
      </w:r>
      <w:r w:rsidRPr="00012F54">
        <w:rPr>
          <w:rFonts w:ascii="Times New Roman" w:hAnsi="Times New Roman"/>
          <w:spacing w:val="-6"/>
          <w:sz w:val="28"/>
          <w:szCs w:val="28"/>
          <w:lang w:val="uk-UA"/>
        </w:rPr>
        <w:t xml:space="preserve"> публікації. </w:t>
      </w:r>
    </w:p>
    <w:p w:rsidR="00012F54" w:rsidRPr="00012F54" w:rsidRDefault="00012F54" w:rsidP="00B065B6">
      <w:pPr>
        <w:widowControl w:val="0"/>
        <w:tabs>
          <w:tab w:val="left" w:pos="0"/>
          <w:tab w:val="left" w:pos="567"/>
        </w:tabs>
        <w:spacing w:after="0" w:line="360" w:lineRule="auto"/>
        <w:ind w:firstLine="284"/>
        <w:jc w:val="both"/>
        <w:rPr>
          <w:rFonts w:ascii="Times New Roman" w:hAnsi="Times New Roman"/>
          <w:spacing w:val="-6"/>
          <w:sz w:val="28"/>
          <w:szCs w:val="28"/>
          <w:lang w:val="uk-UA"/>
        </w:rPr>
      </w:pPr>
      <w:r w:rsidRPr="00012F54">
        <w:rPr>
          <w:rFonts w:ascii="Times New Roman" w:hAnsi="Times New Roman"/>
          <w:spacing w:val="-6"/>
          <w:sz w:val="28"/>
          <w:szCs w:val="28"/>
          <w:lang w:val="uk-UA"/>
        </w:rPr>
        <w:t>Автор висловлює по</w:t>
      </w:r>
      <w:r w:rsidR="00F27455">
        <w:rPr>
          <w:rFonts w:ascii="Times New Roman" w:hAnsi="Times New Roman"/>
          <w:spacing w:val="-6"/>
          <w:sz w:val="28"/>
          <w:szCs w:val="28"/>
          <w:lang w:val="uk-UA"/>
        </w:rPr>
        <w:t>дяку за консультативну допомогу</w:t>
      </w:r>
      <w:r w:rsidRPr="00012F54">
        <w:rPr>
          <w:rFonts w:ascii="Times New Roman" w:hAnsi="Times New Roman"/>
          <w:spacing w:val="-6"/>
          <w:sz w:val="28"/>
          <w:szCs w:val="28"/>
          <w:lang w:val="uk-UA"/>
        </w:rPr>
        <w:t xml:space="preserve"> співробітникам </w:t>
      </w:r>
      <w:r w:rsidRPr="005B2E05">
        <w:rPr>
          <w:rFonts w:ascii="Times New Roman" w:hAnsi="Times New Roman"/>
          <w:spacing w:val="-6"/>
          <w:sz w:val="28"/>
          <w:szCs w:val="28"/>
          <w:lang w:val="uk-UA"/>
        </w:rPr>
        <w:t xml:space="preserve">ВНМУ </w:t>
      </w:r>
      <w:r w:rsidRPr="005B2E05">
        <w:rPr>
          <w:rFonts w:ascii="Times New Roman" w:hAnsi="Times New Roman"/>
          <w:bCs/>
          <w:spacing w:val="-4"/>
          <w:sz w:val="28"/>
          <w:szCs w:val="28"/>
          <w:lang w:val="uk-UA"/>
        </w:rPr>
        <w:t>МОЗ</w:t>
      </w:r>
      <w:r w:rsidRPr="00012F54">
        <w:rPr>
          <w:rFonts w:ascii="Times New Roman" w:hAnsi="Times New Roman"/>
          <w:bCs/>
          <w:spacing w:val="-4"/>
          <w:sz w:val="28"/>
          <w:szCs w:val="28"/>
          <w:lang w:val="uk-UA"/>
        </w:rPr>
        <w:t>України</w:t>
      </w:r>
      <w:r w:rsidR="00F27455">
        <w:rPr>
          <w:rFonts w:ascii="Times New Roman" w:hAnsi="Times New Roman"/>
          <w:spacing w:val="-6"/>
          <w:sz w:val="28"/>
          <w:szCs w:val="28"/>
          <w:lang w:val="uk-UA"/>
        </w:rPr>
        <w:t>:</w:t>
      </w:r>
      <w:r w:rsidR="00680776">
        <w:rPr>
          <w:rFonts w:ascii="Times New Roman" w:hAnsi="Times New Roman"/>
          <w:spacing w:val="-6"/>
          <w:sz w:val="28"/>
          <w:szCs w:val="28"/>
          <w:lang w:val="uk-UA"/>
        </w:rPr>
        <w:t xml:space="preserve"> д. мед. н., проф. кафедри</w:t>
      </w:r>
      <w:r w:rsidR="00F27455">
        <w:rPr>
          <w:rFonts w:ascii="Times New Roman" w:hAnsi="Times New Roman"/>
          <w:spacing w:val="-6"/>
          <w:sz w:val="28"/>
          <w:szCs w:val="28"/>
          <w:lang w:val="uk-UA"/>
        </w:rPr>
        <w:t xml:space="preserve"> фармакології О. А</w:t>
      </w:r>
      <w:r w:rsidRPr="00012F54">
        <w:rPr>
          <w:rFonts w:ascii="Times New Roman" w:hAnsi="Times New Roman"/>
          <w:spacing w:val="-6"/>
          <w:sz w:val="28"/>
          <w:szCs w:val="28"/>
          <w:lang w:val="uk-UA"/>
        </w:rPr>
        <w:t>Ходаківському при проведенні фармакологічних</w:t>
      </w:r>
      <w:r w:rsidR="00F27455">
        <w:rPr>
          <w:rFonts w:ascii="Times New Roman" w:hAnsi="Times New Roman"/>
          <w:spacing w:val="-6"/>
          <w:sz w:val="28"/>
          <w:szCs w:val="28"/>
          <w:lang w:val="uk-UA"/>
        </w:rPr>
        <w:t xml:space="preserve"> експериментів, д. мед.</w:t>
      </w:r>
      <w:r w:rsidRPr="00012F54">
        <w:rPr>
          <w:rFonts w:ascii="Times New Roman" w:hAnsi="Times New Roman"/>
          <w:spacing w:val="-6"/>
          <w:sz w:val="28"/>
          <w:szCs w:val="28"/>
          <w:lang w:val="uk-UA"/>
        </w:rPr>
        <w:t xml:space="preserve"> н., проф. </w:t>
      </w:r>
      <w:r w:rsidR="00680776">
        <w:rPr>
          <w:rFonts w:ascii="Times New Roman" w:hAnsi="Times New Roman"/>
          <w:sz w:val="28"/>
          <w:szCs w:val="28"/>
          <w:lang w:val="uk-UA"/>
        </w:rPr>
        <w:t>кафедри</w:t>
      </w:r>
      <w:r w:rsidR="00F27455">
        <w:rPr>
          <w:rFonts w:ascii="Times New Roman" w:hAnsi="Times New Roman"/>
          <w:sz w:val="28"/>
          <w:szCs w:val="28"/>
          <w:lang w:val="uk-UA"/>
        </w:rPr>
        <w:t xml:space="preserve"> біологічної та загальної хімії</w:t>
      </w:r>
      <w:r w:rsidR="00F27455">
        <w:rPr>
          <w:rFonts w:ascii="Times New Roman" w:hAnsi="Times New Roman"/>
          <w:spacing w:val="-6"/>
          <w:sz w:val="28"/>
          <w:szCs w:val="28"/>
          <w:lang w:val="uk-UA"/>
        </w:rPr>
        <w:t xml:space="preserve">А. </w:t>
      </w:r>
      <w:r w:rsidRPr="00012F54">
        <w:rPr>
          <w:rFonts w:ascii="Times New Roman" w:hAnsi="Times New Roman"/>
          <w:spacing w:val="-6"/>
          <w:sz w:val="28"/>
          <w:szCs w:val="28"/>
          <w:lang w:val="uk-UA"/>
        </w:rPr>
        <w:t>В. Мельнику при проведенні б</w:t>
      </w:r>
      <w:r w:rsidRPr="00F27455">
        <w:rPr>
          <w:rFonts w:ascii="Times New Roman" w:hAnsi="Times New Roman"/>
          <w:spacing w:val="-6"/>
          <w:sz w:val="24"/>
          <w:szCs w:val="24"/>
          <w:lang w:val="uk-UA"/>
        </w:rPr>
        <w:t>і</w:t>
      </w:r>
      <w:r w:rsidRPr="00012F54">
        <w:rPr>
          <w:rFonts w:ascii="Times New Roman" w:hAnsi="Times New Roman"/>
          <w:spacing w:val="-6"/>
          <w:sz w:val="28"/>
          <w:szCs w:val="28"/>
          <w:lang w:val="uk-UA"/>
        </w:rPr>
        <w:t>охімічних досл</w:t>
      </w:r>
      <w:r w:rsidRPr="00F27455">
        <w:rPr>
          <w:rFonts w:ascii="Times New Roman" w:hAnsi="Times New Roman"/>
          <w:spacing w:val="-6"/>
          <w:sz w:val="24"/>
          <w:szCs w:val="24"/>
          <w:lang w:val="uk-UA"/>
        </w:rPr>
        <w:t>і</w:t>
      </w:r>
      <w:r w:rsidRPr="00012F54">
        <w:rPr>
          <w:rFonts w:ascii="Times New Roman" w:hAnsi="Times New Roman"/>
          <w:spacing w:val="-6"/>
          <w:sz w:val="28"/>
          <w:szCs w:val="28"/>
          <w:lang w:val="uk-UA"/>
        </w:rPr>
        <w:t>дж</w:t>
      </w:r>
      <w:r w:rsidR="00680776">
        <w:rPr>
          <w:rFonts w:ascii="Times New Roman" w:hAnsi="Times New Roman"/>
          <w:spacing w:val="-6"/>
          <w:sz w:val="28"/>
          <w:szCs w:val="28"/>
          <w:lang w:val="uk-UA"/>
        </w:rPr>
        <w:t>ен</w:t>
      </w:r>
      <w:r w:rsidR="00F27455">
        <w:rPr>
          <w:rFonts w:ascii="Times New Roman" w:hAnsi="Times New Roman"/>
          <w:spacing w:val="-6"/>
          <w:sz w:val="28"/>
          <w:szCs w:val="28"/>
          <w:lang w:val="uk-UA"/>
        </w:rPr>
        <w:t>ь, к. мед. н., ст. н. с., доц.</w:t>
      </w:r>
      <w:r w:rsidR="00680776">
        <w:rPr>
          <w:rFonts w:ascii="Times New Roman" w:hAnsi="Times New Roman"/>
          <w:spacing w:val="-6"/>
          <w:sz w:val="28"/>
          <w:szCs w:val="28"/>
          <w:lang w:val="uk-UA"/>
        </w:rPr>
        <w:t xml:space="preserve">  кафедри</w:t>
      </w:r>
      <w:r w:rsidRPr="00012F54">
        <w:rPr>
          <w:rFonts w:ascii="Times New Roman" w:hAnsi="Times New Roman"/>
          <w:spacing w:val="-6"/>
          <w:sz w:val="28"/>
          <w:szCs w:val="28"/>
          <w:lang w:val="uk-UA"/>
        </w:rPr>
        <w:t xml:space="preserve"> очних хвороб І. Л. Черешнюку при здійсненні протоково-цитометричного аналізу головного мозку на базі науково-дослідного центру, співробітникам </w:t>
      </w:r>
      <w:r w:rsidRPr="005B2E05">
        <w:rPr>
          <w:rFonts w:ascii="Times New Roman" w:hAnsi="Times New Roman"/>
          <w:bCs/>
          <w:spacing w:val="-4"/>
          <w:sz w:val="24"/>
          <w:szCs w:val="24"/>
          <w:lang w:val="uk-UA"/>
        </w:rPr>
        <w:t>ННДЛ</w:t>
      </w:r>
      <w:r w:rsidRPr="00012F54">
        <w:rPr>
          <w:rFonts w:ascii="Times New Roman" w:hAnsi="Times New Roman"/>
          <w:bCs/>
          <w:spacing w:val="-4"/>
          <w:sz w:val="28"/>
          <w:szCs w:val="28"/>
          <w:lang w:val="uk-UA"/>
        </w:rPr>
        <w:t xml:space="preserve"> «Фармадар» </w:t>
      </w:r>
      <w:r w:rsidRPr="00012F54">
        <w:rPr>
          <w:rFonts w:ascii="Times New Roman" w:hAnsi="Times New Roman"/>
          <w:spacing w:val="-6"/>
          <w:sz w:val="28"/>
          <w:szCs w:val="28"/>
          <w:lang w:val="uk-UA"/>
        </w:rPr>
        <w:t>при оцінці функціональних показників.</w:t>
      </w:r>
    </w:p>
    <w:p w:rsidR="00012F54" w:rsidRPr="00012F54" w:rsidRDefault="00012F54" w:rsidP="00B065B6">
      <w:pPr>
        <w:widowControl w:val="0"/>
        <w:tabs>
          <w:tab w:val="left" w:pos="0"/>
          <w:tab w:val="left" w:pos="567"/>
        </w:tabs>
        <w:spacing w:after="0" w:line="360" w:lineRule="auto"/>
        <w:ind w:firstLine="284"/>
        <w:jc w:val="both"/>
        <w:rPr>
          <w:rFonts w:ascii="Times New Roman" w:hAnsi="Times New Roman"/>
          <w:b/>
          <w:spacing w:val="-6"/>
          <w:sz w:val="28"/>
          <w:szCs w:val="28"/>
          <w:lang w:val="uk-UA"/>
        </w:rPr>
      </w:pPr>
      <w:bookmarkStart w:id="28" w:name="_Hlk485499306"/>
      <w:r w:rsidRPr="00012F54">
        <w:rPr>
          <w:rFonts w:ascii="Times New Roman" w:hAnsi="Times New Roman"/>
          <w:b/>
          <w:spacing w:val="-6"/>
          <w:sz w:val="28"/>
          <w:szCs w:val="28"/>
          <w:lang w:val="uk-UA"/>
        </w:rPr>
        <w:t>Апробація результатів дисертації</w:t>
      </w:r>
    </w:p>
    <w:p w:rsidR="00012F54" w:rsidRPr="005B2E05" w:rsidRDefault="00012F54" w:rsidP="00B065B6">
      <w:pPr>
        <w:widowControl w:val="0"/>
        <w:tabs>
          <w:tab w:val="left" w:pos="0"/>
          <w:tab w:val="left" w:pos="567"/>
        </w:tabs>
        <w:spacing w:after="0" w:line="360" w:lineRule="auto"/>
        <w:ind w:firstLine="284"/>
        <w:jc w:val="both"/>
        <w:rPr>
          <w:rFonts w:ascii="Times New Roman" w:hAnsi="Times New Roman"/>
          <w:bCs/>
          <w:sz w:val="24"/>
          <w:szCs w:val="24"/>
          <w:lang w:val="uk-UA"/>
        </w:rPr>
      </w:pPr>
      <w:r w:rsidRPr="00012F54">
        <w:rPr>
          <w:rFonts w:ascii="Times New Roman" w:hAnsi="Times New Roman"/>
          <w:sz w:val="28"/>
          <w:szCs w:val="28"/>
          <w:lang w:val="uk-UA"/>
        </w:rPr>
        <w:t xml:space="preserve">Головний зміст наукового дослідження </w:t>
      </w:r>
      <w:bookmarkEnd w:id="28"/>
      <w:r w:rsidRPr="00012F54">
        <w:rPr>
          <w:rFonts w:ascii="Times New Roman" w:hAnsi="Times New Roman"/>
          <w:sz w:val="28"/>
          <w:szCs w:val="28"/>
          <w:lang w:val="uk-UA"/>
        </w:rPr>
        <w:t xml:space="preserve">оприлюднено на </w:t>
      </w:r>
      <w:r w:rsidRPr="0010205E">
        <w:rPr>
          <w:rFonts w:ascii="Times New Roman" w:hAnsi="Times New Roman"/>
          <w:sz w:val="28"/>
          <w:szCs w:val="28"/>
          <w:lang w:val="uk-UA"/>
        </w:rPr>
        <w:t>VІІІ</w:t>
      </w:r>
      <w:r w:rsidRPr="00012F54">
        <w:rPr>
          <w:rFonts w:ascii="Times New Roman" w:hAnsi="Times New Roman"/>
          <w:sz w:val="28"/>
          <w:szCs w:val="28"/>
          <w:lang w:val="uk-UA"/>
        </w:rPr>
        <w:t>Національному з’ї</w:t>
      </w:r>
      <w:r w:rsidR="005B2E05">
        <w:rPr>
          <w:rFonts w:ascii="Times New Roman" w:hAnsi="Times New Roman"/>
          <w:sz w:val="28"/>
          <w:szCs w:val="28"/>
          <w:lang w:val="uk-UA"/>
        </w:rPr>
        <w:t>зді фармацевтів України (Харків,</w:t>
      </w:r>
      <w:r w:rsidRPr="00012F54">
        <w:rPr>
          <w:rFonts w:ascii="Times New Roman" w:hAnsi="Times New Roman"/>
          <w:sz w:val="28"/>
          <w:szCs w:val="28"/>
          <w:lang w:val="uk-UA"/>
        </w:rPr>
        <w:t xml:space="preserve"> 2016); </w:t>
      </w:r>
      <w:r w:rsidRPr="00012F54">
        <w:rPr>
          <w:rFonts w:ascii="Times New Roman" w:hAnsi="Times New Roman"/>
          <w:color w:val="000000"/>
          <w:sz w:val="28"/>
          <w:szCs w:val="28"/>
          <w:lang w:val="uk-UA"/>
        </w:rPr>
        <w:t xml:space="preserve">Всеукраїнській науково-практичній конференції з міжнародною участю, пам’яті професора В. В. Дунаєва (Запоріжжя, 2016); V </w:t>
      </w:r>
      <w:r w:rsidRPr="00012F54">
        <w:rPr>
          <w:rFonts w:ascii="Times New Roman" w:hAnsi="Times New Roman"/>
          <w:sz w:val="28"/>
          <w:szCs w:val="28"/>
          <w:lang w:val="uk-UA"/>
        </w:rPr>
        <w:t>Національ</w:t>
      </w:r>
      <w:r w:rsidR="005B2E05">
        <w:rPr>
          <w:rFonts w:ascii="Times New Roman" w:hAnsi="Times New Roman"/>
          <w:sz w:val="28"/>
          <w:szCs w:val="28"/>
          <w:lang w:val="uk-UA"/>
        </w:rPr>
        <w:t>ному з’їзді фармакологів України</w:t>
      </w:r>
      <w:r w:rsidR="005B2E05">
        <w:rPr>
          <w:rFonts w:ascii="Times New Roman" w:hAnsi="Times New Roman"/>
          <w:color w:val="000000"/>
          <w:sz w:val="28"/>
          <w:szCs w:val="28"/>
          <w:lang w:val="uk-UA"/>
        </w:rPr>
        <w:t>(Запоріжжя,</w:t>
      </w:r>
      <w:r w:rsidRPr="00012F54">
        <w:rPr>
          <w:rFonts w:ascii="Times New Roman" w:hAnsi="Times New Roman"/>
          <w:color w:val="000000"/>
          <w:sz w:val="28"/>
          <w:szCs w:val="28"/>
          <w:lang w:val="uk-UA"/>
        </w:rPr>
        <w:t xml:space="preserve"> 2017); </w:t>
      </w:r>
      <w:r w:rsidRPr="00A451B2">
        <w:rPr>
          <w:rFonts w:ascii="Times New Roman" w:hAnsi="Times New Roman"/>
          <w:sz w:val="28"/>
          <w:szCs w:val="28"/>
          <w:lang w:val="uk-UA"/>
        </w:rPr>
        <w:t>ІХ та Х</w:t>
      </w:r>
      <w:r w:rsidR="005B2E05">
        <w:rPr>
          <w:rFonts w:ascii="Times New Roman" w:hAnsi="Times New Roman"/>
          <w:color w:val="000000"/>
          <w:sz w:val="28"/>
          <w:szCs w:val="28"/>
          <w:lang w:val="uk-UA"/>
        </w:rPr>
        <w:t>Все</w:t>
      </w:r>
      <w:r w:rsidRPr="00012F54">
        <w:rPr>
          <w:rFonts w:ascii="Times New Roman" w:hAnsi="Times New Roman"/>
          <w:color w:val="000000"/>
          <w:sz w:val="28"/>
          <w:szCs w:val="28"/>
          <w:lang w:val="uk-UA"/>
        </w:rPr>
        <w:t>українській науково-практичній конференції з міжнародною участю «</w:t>
      </w:r>
      <w:r w:rsidRPr="00012F54">
        <w:rPr>
          <w:rFonts w:ascii="Times New Roman" w:hAnsi="Times New Roman"/>
          <w:sz w:val="28"/>
          <w:szCs w:val="28"/>
          <w:lang w:val="uk-UA"/>
        </w:rPr>
        <w:t xml:space="preserve">Сучасні ас-пекти клінічної фармакології на тлі досягнень доказової медицини </w:t>
      </w:r>
      <w:r w:rsidRPr="00012F54">
        <w:rPr>
          <w:rFonts w:ascii="Times New Roman" w:hAnsi="Times New Roman"/>
          <w:color w:val="000000"/>
          <w:sz w:val="28"/>
          <w:szCs w:val="28"/>
          <w:lang w:val="uk-UA"/>
        </w:rPr>
        <w:t xml:space="preserve">України» </w:t>
      </w:r>
      <w:r w:rsidRPr="005B2E05">
        <w:rPr>
          <w:rFonts w:ascii="Times New Roman" w:hAnsi="Times New Roman"/>
          <w:color w:val="000000"/>
          <w:sz w:val="28"/>
          <w:szCs w:val="28"/>
          <w:lang w:val="uk-UA"/>
        </w:rPr>
        <w:t>(Він-ниця, 2017, 2019);</w:t>
      </w:r>
      <w:r w:rsidRPr="00012F54">
        <w:rPr>
          <w:rFonts w:ascii="Times New Roman" w:hAnsi="Times New Roman"/>
          <w:color w:val="000000"/>
          <w:sz w:val="28"/>
          <w:szCs w:val="28"/>
          <w:lang w:val="uk-UA"/>
        </w:rPr>
        <w:t xml:space="preserve"> І та ІІ Науково-практичної інтернет-конференції з міжнародною участю (Харків, 2018, 2019), </w:t>
      </w:r>
      <w:r w:rsidRPr="00012F54">
        <w:rPr>
          <w:rFonts w:ascii="Times New Roman" w:hAnsi="Times New Roman"/>
          <w:iCs/>
          <w:sz w:val="28"/>
          <w:szCs w:val="28"/>
          <w:lang w:val="uk-UA"/>
        </w:rPr>
        <w:t xml:space="preserve">ХVIІ Науково-практичній конференції студентів та мо-лодих вчених з міжнародною участю «Перший крок в науку </w:t>
      </w:r>
      <w:r w:rsidRPr="00012F54">
        <w:rPr>
          <w:rFonts w:ascii="Times New Roman" w:hAnsi="Times New Roman"/>
          <w:sz w:val="28"/>
          <w:szCs w:val="28"/>
          <w:lang w:val="uk-UA" w:eastAsia="uk-UA"/>
        </w:rPr>
        <w:t>–</w:t>
      </w:r>
      <w:r w:rsidRPr="00012F54">
        <w:rPr>
          <w:rFonts w:ascii="Times New Roman" w:hAnsi="Times New Roman"/>
          <w:iCs/>
          <w:sz w:val="28"/>
          <w:szCs w:val="28"/>
          <w:lang w:val="uk-UA"/>
        </w:rPr>
        <w:t xml:space="preserve"> 2020» (</w:t>
      </w:r>
      <w:r w:rsidRPr="005B2E05">
        <w:rPr>
          <w:rFonts w:ascii="Times New Roman" w:hAnsi="Times New Roman"/>
          <w:iCs/>
          <w:sz w:val="28"/>
          <w:szCs w:val="28"/>
          <w:lang w:val="uk-UA"/>
        </w:rPr>
        <w:t>Вінниця, 2020).</w:t>
      </w:r>
    </w:p>
    <w:p w:rsidR="00012F54" w:rsidRPr="00012F54" w:rsidRDefault="00012F54" w:rsidP="00B065B6">
      <w:pPr>
        <w:widowControl w:val="0"/>
        <w:shd w:val="clear" w:color="auto" w:fill="FFFFFF"/>
        <w:tabs>
          <w:tab w:val="left" w:pos="0"/>
          <w:tab w:val="left" w:pos="567"/>
        </w:tabs>
        <w:spacing w:after="0" w:line="360" w:lineRule="auto"/>
        <w:ind w:firstLine="284"/>
        <w:jc w:val="both"/>
        <w:rPr>
          <w:rFonts w:ascii="Times New Roman" w:hAnsi="Times New Roman"/>
          <w:b/>
          <w:sz w:val="28"/>
          <w:szCs w:val="28"/>
          <w:lang w:val="uk-UA"/>
        </w:rPr>
      </w:pPr>
      <w:r w:rsidRPr="00012F54">
        <w:rPr>
          <w:rFonts w:ascii="Times New Roman" w:hAnsi="Times New Roman"/>
          <w:b/>
          <w:sz w:val="28"/>
          <w:szCs w:val="28"/>
          <w:lang w:val="uk-UA"/>
        </w:rPr>
        <w:t>Впровадження результатів дослідження в практику</w:t>
      </w:r>
    </w:p>
    <w:p w:rsidR="00012F54" w:rsidRPr="0010205E" w:rsidRDefault="00012F54" w:rsidP="00B065B6">
      <w:pPr>
        <w:widowControl w:val="0"/>
        <w:tabs>
          <w:tab w:val="left" w:pos="0"/>
          <w:tab w:val="left" w:pos="567"/>
        </w:tabs>
        <w:spacing w:after="0" w:line="360" w:lineRule="auto"/>
        <w:ind w:firstLine="284"/>
        <w:jc w:val="both"/>
        <w:rPr>
          <w:rFonts w:ascii="Times New Roman" w:hAnsi="Times New Roman"/>
          <w:bCs/>
          <w:sz w:val="28"/>
          <w:szCs w:val="28"/>
          <w:lang w:val="uk-UA"/>
        </w:rPr>
      </w:pPr>
      <w:r w:rsidRPr="00012F54">
        <w:rPr>
          <w:rFonts w:ascii="Times New Roman" w:hAnsi="Times New Roman"/>
          <w:spacing w:val="-4"/>
          <w:sz w:val="28"/>
          <w:szCs w:val="28"/>
          <w:lang w:val="uk-UA"/>
        </w:rPr>
        <w:t xml:space="preserve">Результати впроваджено у науково-педагогічний процес кафедри </w:t>
      </w:r>
      <w:r w:rsidRPr="00012F54">
        <w:rPr>
          <w:rFonts w:ascii="Times New Roman" w:hAnsi="Times New Roman"/>
          <w:sz w:val="28"/>
          <w:szCs w:val="28"/>
          <w:lang w:val="uk-UA"/>
        </w:rPr>
        <w:t xml:space="preserve">клінічної </w:t>
      </w:r>
      <w:r w:rsidRPr="00012F54">
        <w:rPr>
          <w:rFonts w:ascii="Times New Roman" w:hAnsi="Times New Roman"/>
          <w:iCs/>
          <w:sz w:val="28"/>
          <w:szCs w:val="28"/>
          <w:lang w:val="uk-UA"/>
        </w:rPr>
        <w:t>фармакології</w:t>
      </w:r>
      <w:r w:rsidRPr="005B2E05">
        <w:rPr>
          <w:rStyle w:val="a9"/>
          <w:rFonts w:ascii="Times New Roman" w:hAnsi="Times New Roman"/>
          <w:bCs/>
          <w:i w:val="0"/>
          <w:sz w:val="28"/>
          <w:szCs w:val="28"/>
          <w:shd w:val="clear" w:color="auto" w:fill="FFFFFF"/>
          <w:lang w:val="uk-UA"/>
        </w:rPr>
        <w:t>та клінічної фармації</w:t>
      </w:r>
      <w:r w:rsidRPr="00012F54">
        <w:rPr>
          <w:rFonts w:ascii="Times New Roman" w:hAnsi="Times New Roman"/>
          <w:sz w:val="28"/>
          <w:szCs w:val="28"/>
          <w:lang w:val="uk-UA"/>
        </w:rPr>
        <w:t>Національного фармацевтичного університету, кафедри біохімії та медичної хімії ДЗ «Дніпропетровська медична академія МОЗ України», кафедри фармакології Одеського національного медичного університету, кафедри фармакології з клінічною фармакологією Тернопільського державного медичного університету імені І.Я. Горбачевського, навчальному та лікувально-діагностичному процесі кафедри офтальмології Національної медичної академії післядипломної освіти імені П. Л. Шупіка.</w:t>
      </w:r>
    </w:p>
    <w:p w:rsidR="00012F54" w:rsidRPr="00012F54" w:rsidRDefault="00012F54" w:rsidP="00B065B6">
      <w:pPr>
        <w:pStyle w:val="a3"/>
        <w:widowControl w:val="0"/>
        <w:tabs>
          <w:tab w:val="left" w:pos="0"/>
          <w:tab w:val="left" w:pos="567"/>
          <w:tab w:val="left" w:pos="708"/>
        </w:tabs>
        <w:spacing w:line="360" w:lineRule="auto"/>
        <w:ind w:firstLine="284"/>
        <w:jc w:val="both"/>
        <w:rPr>
          <w:rFonts w:ascii="Times New Roman" w:hAnsi="Times New Roman"/>
          <w:b/>
          <w:sz w:val="28"/>
          <w:szCs w:val="28"/>
          <w:lang w:val="uk-UA"/>
        </w:rPr>
      </w:pPr>
      <w:r w:rsidRPr="00012F54">
        <w:rPr>
          <w:rFonts w:ascii="Times New Roman" w:hAnsi="Times New Roman"/>
          <w:b/>
          <w:sz w:val="28"/>
          <w:szCs w:val="28"/>
          <w:lang w:val="uk-UA"/>
        </w:rPr>
        <w:t>Методи дослідження</w:t>
      </w:r>
    </w:p>
    <w:p w:rsidR="00012F54" w:rsidRPr="00012F54" w:rsidRDefault="00012F54" w:rsidP="00B065B6">
      <w:pPr>
        <w:pStyle w:val="a3"/>
        <w:widowControl w:val="0"/>
        <w:tabs>
          <w:tab w:val="left" w:pos="0"/>
          <w:tab w:val="left" w:pos="567"/>
          <w:tab w:val="left" w:pos="708"/>
        </w:tabs>
        <w:spacing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Фармакологічні (фармакодинамічні методи оцінки нових видів активності, методики модулювання патологічних станів ВЧК</w:t>
      </w:r>
      <w:r w:rsidRPr="00012F54">
        <w:rPr>
          <w:rStyle w:val="hps"/>
          <w:rFonts w:ascii="Times New Roman" w:hAnsi="Times New Roman"/>
          <w:sz w:val="28"/>
          <w:szCs w:val="28"/>
          <w:lang w:val="uk-UA"/>
        </w:rPr>
        <w:t>;</w:t>
      </w:r>
      <w:r w:rsidRPr="00012F54">
        <w:rPr>
          <w:rFonts w:ascii="Times New Roman" w:hAnsi="Times New Roman"/>
          <w:sz w:val="28"/>
          <w:szCs w:val="28"/>
          <w:lang w:val="uk-UA"/>
        </w:rPr>
        <w:t xml:space="preserve"> біохімічні </w:t>
      </w:r>
      <w:r w:rsidRPr="00012F54">
        <w:rPr>
          <w:rFonts w:ascii="Times New Roman" w:hAnsi="Times New Roman"/>
          <w:sz w:val="28"/>
          <w:szCs w:val="28"/>
          <w:lang w:val="uk-UA"/>
        </w:rPr>
        <w:lastRenderedPageBreak/>
        <w:t xml:space="preserve">(спектрофотометричний аналіз, метод тонкошарової хроматографії, методики верифікації феномену глутаматноїексайтотоксичності, оцінки енергетичного балансу, вивчення обміну монооксиду азоту, дослідження явищ перекисного окиснення ліпідів (ПОЛ), нітрозативного стресу і активності антиоксидантної системи; імуноферментні методи з визначення стероїдної нейроксичності, активності </w:t>
      </w:r>
      <w:r w:rsidRPr="00012F54">
        <w:rPr>
          <w:rFonts w:ascii="Times New Roman" w:hAnsi="Times New Roman"/>
          <w:bCs/>
          <w:sz w:val="28"/>
          <w:szCs w:val="28"/>
          <w:lang w:val="uk-UA"/>
        </w:rPr>
        <w:t>NSE</w:t>
      </w:r>
      <w:r w:rsidRPr="00012F54">
        <w:rPr>
          <w:rFonts w:ascii="Times New Roman" w:hAnsi="Times New Roman"/>
          <w:sz w:val="28"/>
          <w:szCs w:val="28"/>
          <w:lang w:val="uk-UA"/>
        </w:rPr>
        <w:t>, рівня S100); цитологічні (протоково-цитометричний аналіз із визначенням маркера нейроапоптозуфрагментованої ядерної ДНК та нейрогліопроліферативної активності за фазою S клітинного циклу), функціональні (вимірювання ВЧТ тонометром ICARE, лазердоплерографіяінтра- та екстракраніальних судин, оцінка гемодинамічних параметрів модулем BIOPAK), статистичні (параметричний критерій t Ст’юдента, непараметричний критерій W. Уайта, парний критерій Ť Вілкоксона – для визначення значущих змін у динаміці всередині групи, кутове перетворення Фішера – при обліку результатів в альтернативній формі).</w:t>
      </w:r>
    </w:p>
    <w:p w:rsidR="00012F54" w:rsidRPr="00012F54" w:rsidRDefault="00012F54" w:rsidP="00B065B6">
      <w:pPr>
        <w:pStyle w:val="a3"/>
        <w:widowControl w:val="0"/>
        <w:tabs>
          <w:tab w:val="left" w:pos="0"/>
          <w:tab w:val="left" w:pos="567"/>
          <w:tab w:val="left" w:pos="708"/>
        </w:tabs>
        <w:spacing w:line="360" w:lineRule="auto"/>
        <w:ind w:firstLine="284"/>
        <w:jc w:val="both"/>
        <w:rPr>
          <w:rFonts w:ascii="Times New Roman" w:hAnsi="Times New Roman"/>
          <w:sz w:val="28"/>
          <w:szCs w:val="28"/>
          <w:lang w:val="uk-UA"/>
        </w:rPr>
      </w:pPr>
      <w:r w:rsidRPr="00012F54">
        <w:rPr>
          <w:rFonts w:ascii="Times New Roman" w:hAnsi="Times New Roman"/>
          <w:b/>
          <w:bCs/>
          <w:sz w:val="28"/>
          <w:szCs w:val="28"/>
          <w:lang w:val="uk-UA"/>
        </w:rPr>
        <w:t>Публікації.</w:t>
      </w:r>
      <w:r w:rsidRPr="00012F54">
        <w:rPr>
          <w:rFonts w:ascii="Times New Roman" w:hAnsi="Times New Roman"/>
          <w:sz w:val="28"/>
          <w:szCs w:val="28"/>
          <w:lang w:val="uk-UA"/>
        </w:rPr>
        <w:t xml:space="preserve"> За темою дисертаційної роботи опубліковано 12 робіт, у тому числі 5 статей у фахових журнала</w:t>
      </w:r>
      <w:r w:rsidR="002E7D9C">
        <w:rPr>
          <w:rFonts w:ascii="Times New Roman" w:hAnsi="Times New Roman"/>
          <w:sz w:val="28"/>
          <w:szCs w:val="28"/>
          <w:lang w:val="uk-UA"/>
        </w:rPr>
        <w:t>х, рекомендованих МОН України (1</w:t>
      </w:r>
      <w:r w:rsidRPr="00012F54">
        <w:rPr>
          <w:rFonts w:ascii="Times New Roman" w:hAnsi="Times New Roman"/>
          <w:sz w:val="28"/>
          <w:szCs w:val="28"/>
          <w:lang w:val="uk-UA"/>
        </w:rPr>
        <w:t xml:space="preserve"> публікація в науковому періодичному міжнародному виданні) та 7 тез-доповідей у матеріалах з’їздів та конференцій. </w:t>
      </w:r>
    </w:p>
    <w:p w:rsidR="00012F54" w:rsidRPr="00012F54" w:rsidRDefault="00012F54" w:rsidP="00B065B6">
      <w:pPr>
        <w:widowControl w:val="0"/>
        <w:tabs>
          <w:tab w:val="left" w:pos="0"/>
          <w:tab w:val="left" w:pos="567"/>
        </w:tabs>
        <w:spacing w:after="0" w:line="360" w:lineRule="auto"/>
        <w:ind w:firstLine="284"/>
        <w:jc w:val="both"/>
        <w:rPr>
          <w:rFonts w:ascii="Times New Roman" w:hAnsi="Times New Roman"/>
          <w:b/>
          <w:color w:val="000000"/>
          <w:sz w:val="28"/>
          <w:szCs w:val="28"/>
          <w:lang w:val="uk-UA"/>
        </w:rPr>
      </w:pPr>
      <w:r w:rsidRPr="00012F54">
        <w:rPr>
          <w:rFonts w:ascii="Times New Roman" w:hAnsi="Times New Roman"/>
          <w:b/>
          <w:color w:val="000000"/>
          <w:sz w:val="28"/>
          <w:szCs w:val="28"/>
          <w:lang w:val="uk-UA"/>
        </w:rPr>
        <w:t>Структура і обсяг дисертації</w:t>
      </w:r>
    </w:p>
    <w:p w:rsidR="00012F54" w:rsidRDefault="00012F54" w:rsidP="00B065B6">
      <w:pPr>
        <w:widowControl w:val="0"/>
        <w:tabs>
          <w:tab w:val="left" w:pos="0"/>
          <w:tab w:val="left" w:pos="567"/>
        </w:tabs>
        <w:spacing w:after="0" w:line="360" w:lineRule="auto"/>
        <w:ind w:firstLine="284"/>
        <w:jc w:val="both"/>
        <w:rPr>
          <w:rFonts w:ascii="Times New Roman" w:hAnsi="Times New Roman"/>
          <w:sz w:val="28"/>
          <w:szCs w:val="28"/>
          <w:lang w:val="uk-UA"/>
        </w:rPr>
      </w:pPr>
      <w:r w:rsidRPr="00012F54">
        <w:rPr>
          <w:rFonts w:ascii="Times New Roman" w:hAnsi="Times New Roman"/>
          <w:color w:val="000000"/>
          <w:sz w:val="28"/>
          <w:szCs w:val="28"/>
          <w:lang w:val="uk-UA"/>
        </w:rPr>
        <w:t xml:space="preserve">Дисертація викладена на </w:t>
      </w:r>
      <w:r w:rsidRPr="00012F54">
        <w:rPr>
          <w:rFonts w:ascii="Times New Roman" w:hAnsi="Times New Roman"/>
          <w:sz w:val="28"/>
          <w:szCs w:val="28"/>
          <w:lang w:val="uk-UA"/>
        </w:rPr>
        <w:t>164 ст</w:t>
      </w:r>
      <w:r w:rsidRPr="00012F54">
        <w:rPr>
          <w:rFonts w:ascii="Times New Roman" w:hAnsi="Times New Roman"/>
          <w:color w:val="000000"/>
          <w:sz w:val="28"/>
          <w:szCs w:val="28"/>
          <w:lang w:val="uk-UA"/>
        </w:rPr>
        <w:t xml:space="preserve">орінках </w:t>
      </w:r>
      <w:r w:rsidRPr="00012F54">
        <w:rPr>
          <w:rFonts w:ascii="Times New Roman" w:hAnsi="Times New Roman"/>
          <w:sz w:val="28"/>
          <w:szCs w:val="28"/>
          <w:lang w:val="uk-UA"/>
        </w:rPr>
        <w:t xml:space="preserve">друкованого тексту (основна текстова частина – 116 сторінки) </w:t>
      </w:r>
      <w:r w:rsidRPr="00012F54">
        <w:rPr>
          <w:rFonts w:ascii="Times New Roman" w:hAnsi="Times New Roman"/>
          <w:color w:val="000000"/>
          <w:sz w:val="28"/>
          <w:szCs w:val="28"/>
          <w:lang w:val="uk-UA"/>
        </w:rPr>
        <w:t>і включає анотацію, вступ, огляд літератури, опис ма</w:t>
      </w:r>
      <w:r w:rsidR="0010205E">
        <w:rPr>
          <w:rFonts w:ascii="Times New Roman" w:hAnsi="Times New Roman"/>
          <w:color w:val="000000"/>
          <w:sz w:val="28"/>
          <w:szCs w:val="28"/>
          <w:lang w:val="uk-UA"/>
        </w:rPr>
        <w:t>теріалів та методів дослідження,</w:t>
      </w:r>
      <w:r w:rsidRPr="00012F54">
        <w:rPr>
          <w:rFonts w:ascii="Times New Roman" w:hAnsi="Times New Roman"/>
          <w:color w:val="000000"/>
          <w:sz w:val="28"/>
          <w:szCs w:val="28"/>
          <w:lang w:val="uk-UA"/>
        </w:rPr>
        <w:t xml:space="preserve"> 4 розділи власних досліджень, аналіз і узагальнення одержаних результатів, висновки, список використаних джерел, що включає </w:t>
      </w:r>
      <w:r w:rsidRPr="00012F54">
        <w:rPr>
          <w:rFonts w:ascii="Times New Roman" w:hAnsi="Times New Roman"/>
          <w:sz w:val="28"/>
          <w:szCs w:val="28"/>
          <w:lang w:val="uk-UA"/>
        </w:rPr>
        <w:t>197 найменувань (117 кирилицею, 80 латиницею), додатки. Робота ілюстрована 16 рис. та 27 табл.</w:t>
      </w:r>
    </w:p>
    <w:p w:rsidR="000615DD" w:rsidRDefault="000615DD" w:rsidP="00B065B6">
      <w:pPr>
        <w:spacing w:after="160" w:line="259" w:lineRule="auto"/>
        <w:ind w:firstLine="284"/>
        <w:rPr>
          <w:rFonts w:ascii="Times New Roman" w:hAnsi="Times New Roman"/>
          <w:sz w:val="28"/>
          <w:szCs w:val="28"/>
          <w:lang w:val="uk-UA"/>
        </w:rPr>
      </w:pPr>
      <w:r>
        <w:rPr>
          <w:rFonts w:ascii="Times New Roman" w:hAnsi="Times New Roman"/>
          <w:sz w:val="28"/>
          <w:szCs w:val="28"/>
          <w:lang w:val="uk-UA"/>
        </w:rPr>
        <w:br w:type="page"/>
      </w:r>
    </w:p>
    <w:p w:rsidR="00012F54" w:rsidRPr="002F4D2E" w:rsidRDefault="00012F54" w:rsidP="00B065B6">
      <w:pPr>
        <w:pStyle w:val="1"/>
        <w:ind w:firstLine="284"/>
        <w:jc w:val="center"/>
        <w:rPr>
          <w:caps/>
          <w:sz w:val="28"/>
          <w:szCs w:val="28"/>
          <w:lang w:val="uk-UA"/>
        </w:rPr>
      </w:pPr>
      <w:r w:rsidRPr="002F4D2E">
        <w:rPr>
          <w:caps/>
          <w:sz w:val="28"/>
          <w:szCs w:val="28"/>
          <w:lang w:val="uk-UA"/>
        </w:rPr>
        <w:lastRenderedPageBreak/>
        <w:t>Розділ 1</w:t>
      </w:r>
    </w:p>
    <w:p w:rsidR="00012F54" w:rsidRPr="002F4D2E" w:rsidRDefault="00012F54" w:rsidP="00B065B6">
      <w:pPr>
        <w:widowControl w:val="0"/>
        <w:spacing w:after="0" w:line="360" w:lineRule="auto"/>
        <w:ind w:firstLine="284"/>
        <w:jc w:val="center"/>
        <w:rPr>
          <w:rFonts w:ascii="Times New Roman" w:hAnsi="Times New Roman"/>
          <w:b/>
          <w:bCs/>
          <w:sz w:val="28"/>
          <w:szCs w:val="28"/>
          <w:lang w:val="uk-UA"/>
        </w:rPr>
      </w:pPr>
      <w:r w:rsidRPr="002F4D2E">
        <w:rPr>
          <w:rFonts w:ascii="Times New Roman" w:hAnsi="Times New Roman"/>
          <w:b/>
          <w:bCs/>
          <w:sz w:val="28"/>
          <w:szCs w:val="28"/>
          <w:lang w:val="uk-UA"/>
        </w:rPr>
        <w:t>ПАТОГЕНЕТИЧНІ ОСОБЛИВОСТІ ФОРМУВАННЯ</w:t>
      </w:r>
    </w:p>
    <w:p w:rsidR="00012F54" w:rsidRPr="002F4D2E" w:rsidRDefault="00012F54" w:rsidP="00B065B6">
      <w:pPr>
        <w:widowControl w:val="0"/>
        <w:spacing w:after="0" w:line="360" w:lineRule="auto"/>
        <w:ind w:firstLine="284"/>
        <w:jc w:val="center"/>
        <w:rPr>
          <w:rFonts w:ascii="Times New Roman" w:hAnsi="Times New Roman"/>
          <w:b/>
          <w:bCs/>
          <w:sz w:val="28"/>
          <w:szCs w:val="28"/>
          <w:lang w:val="uk-UA"/>
        </w:rPr>
      </w:pPr>
      <w:r w:rsidRPr="002F4D2E">
        <w:rPr>
          <w:rFonts w:ascii="Times New Roman" w:hAnsi="Times New Roman"/>
          <w:b/>
          <w:bCs/>
          <w:sz w:val="28"/>
          <w:szCs w:val="28"/>
          <w:lang w:val="uk-UA"/>
        </w:rPr>
        <w:t>ІШЕМІЧНОГО ВОГНИЩА ПРИ ІНТРАЦЕРЕБРАЛЬНІЙ ГЕМОРАГІЇ. НАПРЯМКИ, МОЖЛИВОСТІ ТА ЗАСАДИ НЕЙРОПРОТЕКТОРНОЇ ТЕРАПІЇ ГЕМОРАГІЧНОГО ІНСУЛЬТУ (огляд літератури)</w:t>
      </w:r>
    </w:p>
    <w:p w:rsidR="00012F54" w:rsidRPr="002F4D2E" w:rsidRDefault="00012F54" w:rsidP="00B065B6">
      <w:pPr>
        <w:widowControl w:val="0"/>
        <w:spacing w:after="0" w:line="360" w:lineRule="auto"/>
        <w:ind w:firstLine="284"/>
        <w:jc w:val="center"/>
        <w:rPr>
          <w:rFonts w:ascii="Times New Roman" w:hAnsi="Times New Roman"/>
          <w:b/>
          <w:sz w:val="28"/>
          <w:szCs w:val="28"/>
          <w:lang w:val="uk-UA"/>
        </w:rPr>
      </w:pPr>
    </w:p>
    <w:p w:rsidR="00012F54" w:rsidRPr="005879AB" w:rsidRDefault="00012F54" w:rsidP="00B065B6">
      <w:pPr>
        <w:pStyle w:val="2"/>
        <w:keepNext w:val="0"/>
        <w:keepLines w:val="0"/>
        <w:widowControl w:val="0"/>
        <w:numPr>
          <w:ilvl w:val="1"/>
          <w:numId w:val="4"/>
        </w:numPr>
        <w:spacing w:before="0" w:line="360" w:lineRule="auto"/>
        <w:ind w:left="0" w:firstLine="284"/>
        <w:jc w:val="both"/>
        <w:rPr>
          <w:rFonts w:ascii="Times New Roman" w:hAnsi="Times New Roman" w:cs="Times New Roman"/>
          <w:color w:val="auto"/>
          <w:sz w:val="28"/>
          <w:szCs w:val="28"/>
          <w:lang w:val="uk-UA"/>
        </w:rPr>
      </w:pPr>
      <w:r w:rsidRPr="005879AB">
        <w:rPr>
          <w:rFonts w:ascii="Times New Roman" w:hAnsi="Times New Roman" w:cs="Times New Roman"/>
          <w:color w:val="auto"/>
          <w:sz w:val="28"/>
          <w:szCs w:val="28"/>
          <w:lang w:val="uk-UA"/>
        </w:rPr>
        <w:t>Особливості формування провідних ланок патобіохімічного каскаду в нейронах при інтракраніальному крововиливі поліетіологічної природи (субарахноїдальний та внутрішньочерепний крововили</w:t>
      </w:r>
      <w:r w:rsidR="00C46702" w:rsidRPr="005879AB">
        <w:rPr>
          <w:rFonts w:ascii="Times New Roman" w:hAnsi="Times New Roman" w:cs="Times New Roman"/>
          <w:color w:val="auto"/>
          <w:sz w:val="28"/>
          <w:szCs w:val="28"/>
          <w:lang w:val="uk-UA"/>
        </w:rPr>
        <w:t>в, черепно-мозкова травма</w:t>
      </w:r>
      <w:r w:rsidR="00A451B2" w:rsidRPr="005879AB">
        <w:rPr>
          <w:rFonts w:ascii="Times New Roman" w:hAnsi="Times New Roman" w:cs="Times New Roman"/>
          <w:color w:val="auto"/>
          <w:sz w:val="28"/>
          <w:szCs w:val="28"/>
          <w:lang w:val="uk-UA"/>
        </w:rPr>
        <w:t>)</w:t>
      </w:r>
    </w:p>
    <w:p w:rsidR="00012F54" w:rsidRPr="00012F54" w:rsidRDefault="00012F54" w:rsidP="00B065B6">
      <w:pPr>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Порівнял</w:t>
      </w:r>
      <w:r w:rsidR="00A451B2">
        <w:rPr>
          <w:rFonts w:ascii="Times New Roman" w:hAnsi="Times New Roman"/>
          <w:sz w:val="28"/>
          <w:szCs w:val="28"/>
          <w:lang w:val="uk-UA"/>
        </w:rPr>
        <w:t>ьний аналіз літературних даних, щодо</w:t>
      </w:r>
      <w:r w:rsidRPr="00012F54">
        <w:rPr>
          <w:rFonts w:ascii="Times New Roman" w:hAnsi="Times New Roman"/>
          <w:sz w:val="28"/>
          <w:szCs w:val="28"/>
          <w:lang w:val="uk-UA"/>
        </w:rPr>
        <w:t xml:space="preserve"> особливостей анатомо-морфологічної будови головного м</w:t>
      </w:r>
      <w:r w:rsidR="00A451B2">
        <w:rPr>
          <w:rFonts w:ascii="Times New Roman" w:hAnsi="Times New Roman"/>
          <w:sz w:val="28"/>
          <w:szCs w:val="28"/>
          <w:lang w:val="uk-UA"/>
        </w:rPr>
        <w:t xml:space="preserve">озку вказує на той факт, що він </w:t>
      </w:r>
      <w:r w:rsidRPr="00012F54">
        <w:rPr>
          <w:rFonts w:ascii="Times New Roman" w:hAnsi="Times New Roman"/>
          <w:sz w:val="28"/>
          <w:szCs w:val="28"/>
          <w:lang w:val="uk-UA"/>
        </w:rPr>
        <w:t xml:space="preserve"> містить, як нейрональні, так і судинні елементи. Тому є всі підстави останній віднести до основних органів-мішеней, що асоційовані із патологією серцево-судинної та центральної нервової системи (ЦНС), у першу чергу, мова йде про артеріальну гіпертензію, особливо поєднану із цукровим діабетом (ЦД) та патологією судин (наявні внутрішньомозкові та екстрацеребральні аневризми) </w:t>
      </w:r>
      <w:r w:rsidRPr="00012F54">
        <w:rPr>
          <w:rStyle w:val="longtext"/>
          <w:rFonts w:ascii="Times New Roman" w:hAnsi="Times New Roman"/>
          <w:sz w:val="28"/>
          <w:szCs w:val="28"/>
          <w:lang w:val="uk-UA"/>
        </w:rPr>
        <w:t>[2, 17</w:t>
      </w:r>
      <w:r w:rsidRPr="00012F54">
        <w:rPr>
          <w:rFonts w:ascii="Times New Roman" w:hAnsi="Times New Roman"/>
          <w:sz w:val="28"/>
          <w:szCs w:val="28"/>
          <w:lang w:val="uk-UA"/>
        </w:rPr>
        <w:t>–</w:t>
      </w:r>
      <w:r w:rsidRPr="00012F54">
        <w:rPr>
          <w:rStyle w:val="longtext"/>
          <w:rFonts w:ascii="Times New Roman" w:hAnsi="Times New Roman"/>
          <w:sz w:val="28"/>
          <w:szCs w:val="28"/>
          <w:lang w:val="uk-UA"/>
        </w:rPr>
        <w:t>19</w:t>
      </w:r>
      <w:r w:rsidRPr="00012F54">
        <w:rPr>
          <w:rFonts w:ascii="Times New Roman" w:hAnsi="Times New Roman"/>
          <w:sz w:val="28"/>
          <w:szCs w:val="28"/>
          <w:lang w:val="uk-UA"/>
        </w:rPr>
        <w:t>].</w:t>
      </w:r>
    </w:p>
    <w:p w:rsidR="00012F54" w:rsidRPr="00012F54" w:rsidRDefault="00012F54" w:rsidP="00B065B6">
      <w:pPr>
        <w:widowControl w:val="0"/>
        <w:spacing w:after="0" w:line="360" w:lineRule="auto"/>
        <w:ind w:firstLine="284"/>
        <w:contextualSpacing/>
        <w:jc w:val="both"/>
        <w:rPr>
          <w:rFonts w:ascii="Times New Roman" w:hAnsi="Times New Roman"/>
          <w:sz w:val="28"/>
          <w:szCs w:val="28"/>
          <w:lang w:val="uk-UA"/>
        </w:rPr>
      </w:pPr>
      <w:r w:rsidRPr="00012F54">
        <w:rPr>
          <w:rFonts w:ascii="Times New Roman" w:hAnsi="Times New Roman"/>
          <w:sz w:val="28"/>
          <w:szCs w:val="28"/>
          <w:lang w:val="uk-UA"/>
        </w:rPr>
        <w:t xml:space="preserve">Зважаючи на це, патобіохімічний каскад при геморагічному ураженні мозку, аутентичний тим змінам, які мають місце в нейронах мозку при інших типах інсульту, транзиторних атаках, або реперфузії (ІР) інфаркт-залежної судини </w:t>
      </w:r>
      <w:r w:rsidRPr="00012F54">
        <w:rPr>
          <w:rStyle w:val="longtext"/>
          <w:rFonts w:ascii="Times New Roman" w:hAnsi="Times New Roman"/>
          <w:sz w:val="28"/>
          <w:szCs w:val="28"/>
          <w:lang w:val="uk-UA"/>
        </w:rPr>
        <w:t>[</w:t>
      </w:r>
      <w:r w:rsidRPr="00012F54">
        <w:rPr>
          <w:rFonts w:ascii="Times New Roman" w:hAnsi="Times New Roman"/>
          <w:sz w:val="28"/>
          <w:szCs w:val="28"/>
          <w:lang w:val="uk-UA" w:eastAsia="uk-UA"/>
        </w:rPr>
        <w:t>20</w:t>
      </w:r>
      <w:r w:rsidRPr="00012F54">
        <w:rPr>
          <w:rFonts w:ascii="Times New Roman" w:hAnsi="Times New Roman"/>
          <w:sz w:val="28"/>
          <w:szCs w:val="28"/>
          <w:lang w:val="uk-UA"/>
        </w:rPr>
        <w:t>–</w:t>
      </w:r>
      <w:r w:rsidRPr="00012F54">
        <w:rPr>
          <w:rFonts w:ascii="Times New Roman" w:hAnsi="Times New Roman"/>
          <w:sz w:val="28"/>
          <w:szCs w:val="28"/>
          <w:lang w:val="uk-UA" w:eastAsia="uk-UA"/>
        </w:rPr>
        <w:t>23].</w:t>
      </w:r>
      <w:r w:rsidRPr="00012F54">
        <w:rPr>
          <w:rFonts w:ascii="Times New Roman" w:hAnsi="Times New Roman"/>
          <w:sz w:val="28"/>
          <w:szCs w:val="28"/>
          <w:lang w:val="uk-UA"/>
        </w:rPr>
        <w:t xml:space="preserve"> Разом із тим, у молекулярних змінах в нейронах при контузії мозку за черепно-мозкової травми (ЧМТ), інсульті, або ж транзиторних ішемічних атаках існують певні відмінності, які обумовлені додатковими чинниками, що призводять до вторинної альтерації клітин. Слід відмітити, що кора головного мозку має високу чутливість до впливу пошкоджуючих факторів, оскільки до її складу входить декілька шарів диференційованих високоспеціалізованих клітин (нейронів), ансамбль яких забезпечує реалізацію вищих нервових функцій </w:t>
      </w:r>
      <w:r w:rsidRPr="00012F54">
        <w:rPr>
          <w:rStyle w:val="longtext"/>
          <w:rFonts w:ascii="Times New Roman" w:hAnsi="Times New Roman"/>
          <w:sz w:val="28"/>
          <w:szCs w:val="28"/>
          <w:lang w:val="uk-UA"/>
        </w:rPr>
        <w:t>[</w:t>
      </w:r>
      <w:r w:rsidRPr="00012F54">
        <w:rPr>
          <w:rFonts w:ascii="Times New Roman" w:hAnsi="Times New Roman"/>
          <w:sz w:val="28"/>
          <w:szCs w:val="28"/>
          <w:lang w:val="uk-UA"/>
        </w:rPr>
        <w:t>24–32</w:t>
      </w:r>
      <w:r w:rsidRPr="00012F54">
        <w:rPr>
          <w:rStyle w:val="longtext"/>
          <w:rFonts w:ascii="Times New Roman" w:hAnsi="Times New Roman"/>
          <w:sz w:val="28"/>
          <w:szCs w:val="28"/>
          <w:lang w:val="uk-UA"/>
        </w:rPr>
        <w:t>]</w:t>
      </w:r>
      <w:r w:rsidRPr="00012F54">
        <w:rPr>
          <w:rFonts w:ascii="Times New Roman" w:hAnsi="Times New Roman"/>
          <w:sz w:val="28"/>
          <w:szCs w:val="28"/>
          <w:lang w:val="uk-UA"/>
        </w:rPr>
        <w:t>.</w:t>
      </w:r>
    </w:p>
    <w:p w:rsidR="00012F54" w:rsidRPr="00012F54" w:rsidRDefault="00012F54" w:rsidP="00B065B6">
      <w:pPr>
        <w:shd w:val="clear" w:color="auto" w:fill="FFFFFF"/>
        <w:tabs>
          <w:tab w:val="left" w:pos="-1080"/>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Початок патогенетичного каскаду в нейронах при ІР мозку внаслідок інтракраніальноїгеморагії, як і при ІІ на тлі тромбозу, тривалого вазоспазму, або компресії судин ззовні при лікворогіпертензії (підвищений ВЧТ), на тканинному рівні починається із порушень трофіки та мікроциркуляції. Це є підґрунтям до </w:t>
      </w:r>
      <w:r w:rsidRPr="00012F54">
        <w:rPr>
          <w:rFonts w:ascii="Times New Roman" w:hAnsi="Times New Roman"/>
          <w:sz w:val="28"/>
          <w:szCs w:val="28"/>
          <w:lang w:val="uk-UA"/>
        </w:rPr>
        <w:lastRenderedPageBreak/>
        <w:t xml:space="preserve">виникнення енергодефіциту за рахунок дискоординації в циклі Кребса і відсутності супряження окисного фосфорилювання із тканинним диханням </w:t>
      </w:r>
      <w:r w:rsidRPr="00012F54">
        <w:rPr>
          <w:rStyle w:val="longtext"/>
          <w:rFonts w:ascii="Times New Roman" w:hAnsi="Times New Roman"/>
          <w:sz w:val="28"/>
          <w:szCs w:val="28"/>
          <w:lang w:val="uk-UA"/>
        </w:rPr>
        <w:t>[19, 33, 34</w:t>
      </w:r>
      <w:r w:rsidRPr="00012F54">
        <w:rPr>
          <w:rFonts w:ascii="Times New Roman" w:hAnsi="Times New Roman"/>
          <w:sz w:val="28"/>
          <w:szCs w:val="28"/>
          <w:lang w:val="uk-UA"/>
        </w:rPr>
        <w:t xml:space="preserve">]. </w:t>
      </w:r>
    </w:p>
    <w:p w:rsidR="00012F54" w:rsidRPr="00012F54" w:rsidRDefault="00012F54" w:rsidP="00B065B6">
      <w:pPr>
        <w:shd w:val="clear" w:color="auto" w:fill="FFFFFF"/>
        <w:tabs>
          <w:tab w:val="left" w:pos="-1080"/>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В умовах гострого порушення мозкового кровообігу (ГПМК) за геморагічним типом на перший план виступає первинна альтерація масиву клітин внаслідок крововиливу, який не пов’язаний із формуванням енергетичної недостатності. Однак, в подальшому, за рахунок рефлекторного церебровазоспазму, мікроциркляторні зміни мають місце, і більш того, виходять на передній план. </w:t>
      </w:r>
    </w:p>
    <w:p w:rsidR="00012F54" w:rsidRPr="00012F54" w:rsidRDefault="00012F54" w:rsidP="00B065B6">
      <w:pPr>
        <w:shd w:val="clear" w:color="auto" w:fill="FFFFFF"/>
        <w:tabs>
          <w:tab w:val="left" w:pos="-1080"/>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Провідні гемодинамічні порушення кровоплину на капілярному рівні при геморагічному типі (ГПМК) пов’язані із різними причинами. По-перше, як ускладнення гіпертензивного кризу відбувається розрив аневризми, або ж капіляру, що є тригерним фактором до активації судинної ланки гемостазу, і реалізується через спазм. Причому, такий спазм охоплює не тільки інфаркт-залежну судину, а й загалом всю судинну сітку, що призводить до трансформації реґіонарної субтотальної ішемії в тотальну. По-друге, черепна коробка являє собою замкнений простір і збільшення параметрів об’єму мозку, у випадку внутрішньомозкового крововиливу (ВМК), або ж при потраплянні крові у САП при однойменному крововиливі призводить до підвищення внутрішньочерепного тиску (ВЧТ). По-третє, в цих умовах за рахунок дисбалансу між утворенням спинномозкової рідини судинними сплетеннями м’якої мозкової оболонки та зворотної реабсорбції, відбувається порушення ліквородинаміки, що ускладнюється у підгострому періоді внаслідок утворення кров’яних згортків та септ. Отже, при ГІ наростаюча черепна гіпертензія призводить до набряку-набухання нейронів, перетискання ззовні судин, яке, власно супроводжується редукцією кровоплину</w:t>
      </w:r>
      <w:r w:rsidRPr="00012F54">
        <w:rPr>
          <w:rStyle w:val="longtext"/>
          <w:rFonts w:ascii="Times New Roman" w:hAnsi="Times New Roman"/>
          <w:sz w:val="28"/>
          <w:szCs w:val="28"/>
          <w:lang w:val="uk-UA"/>
        </w:rPr>
        <w:t>[35]</w:t>
      </w:r>
      <w:r w:rsidRPr="00012F54">
        <w:rPr>
          <w:rFonts w:ascii="Times New Roman" w:hAnsi="Times New Roman"/>
          <w:sz w:val="28"/>
          <w:szCs w:val="28"/>
          <w:lang w:val="uk-UA"/>
        </w:rPr>
        <w:t>. При всіх варіантах свого розвитку, тензійні порушення призводять до пригнічення кровопостачання, а це у свою чергу супроводжується енергодефіцитом</w:t>
      </w:r>
      <w:r w:rsidRPr="00012F54">
        <w:rPr>
          <w:rStyle w:val="longtext"/>
          <w:rFonts w:ascii="Times New Roman" w:hAnsi="Times New Roman"/>
          <w:sz w:val="28"/>
          <w:szCs w:val="28"/>
          <w:lang w:val="uk-UA"/>
        </w:rPr>
        <w:t>[</w:t>
      </w:r>
      <w:r w:rsidRPr="00012F54">
        <w:rPr>
          <w:rFonts w:ascii="Times New Roman" w:hAnsi="Times New Roman"/>
          <w:sz w:val="28"/>
          <w:szCs w:val="28"/>
        </w:rPr>
        <w:t>34, 36,37</w:t>
      </w:r>
      <w:r w:rsidRPr="00012F54">
        <w:rPr>
          <w:rFonts w:ascii="Times New Roman" w:hAnsi="Times New Roman"/>
          <w:sz w:val="28"/>
          <w:szCs w:val="28"/>
          <w:lang w:val="uk-UA"/>
        </w:rPr>
        <w:t xml:space="preserve">]. В умовах САК за рахунок об’єму крові, який потрапив у САП та зменшенням сталого об’єму черепної коробки за рахунок наявності гематом, зростають абсолютні значення ВЧТ, що супроводжується дестабілізацією у системі ауторегуляції кровообігу і призводить до погіршення кровобігу в інтрацеребральних судинах, які забезпечують трофіку мозку. Окрім цього, порушується аксональний транспорт внаслідок зовнішнього механічного тиску на кору мозку, з наступним її здавленням. Все це призводить до </w:t>
      </w:r>
      <w:r w:rsidRPr="00012F54">
        <w:rPr>
          <w:rFonts w:ascii="Times New Roman" w:hAnsi="Times New Roman"/>
          <w:sz w:val="28"/>
          <w:szCs w:val="28"/>
          <w:lang w:val="uk-UA"/>
        </w:rPr>
        <w:lastRenderedPageBreak/>
        <w:t xml:space="preserve">надмірної активації NMDA-рецепторів та запуску глутамат-кальцієвого патобіохімічного каскаду – основних механізмів апоптотичної та некробіотичної смерті нейронів. Як наслідок, формується деструктивно-дегенеративне вогнище, що спричиняє розвиток патологічно зміненого неврологічного статусу хворих. </w:t>
      </w:r>
    </w:p>
    <w:p w:rsidR="00012F54" w:rsidRPr="00012F54" w:rsidRDefault="00012F54" w:rsidP="00B065B6">
      <w:pPr>
        <w:shd w:val="clear" w:color="auto" w:fill="FFFFFF"/>
        <w:tabs>
          <w:tab w:val="left" w:pos="-1080"/>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Отже,</w:t>
      </w:r>
      <w:r w:rsidRPr="00012F54">
        <w:rPr>
          <w:rFonts w:ascii="Times New Roman" w:hAnsi="Times New Roman"/>
          <w:bCs/>
          <w:sz w:val="28"/>
          <w:szCs w:val="28"/>
          <w:lang w:val="uk-UA"/>
        </w:rPr>
        <w:t>г</w:t>
      </w:r>
      <w:r w:rsidRPr="00012F54">
        <w:rPr>
          <w:rFonts w:ascii="Times New Roman" w:hAnsi="Times New Roman"/>
          <w:sz w:val="28"/>
          <w:szCs w:val="28"/>
          <w:lang w:val="uk-UA"/>
        </w:rPr>
        <w:t xml:space="preserve">лутаматнаексайтотоксичність та внутрішньочерпна гіпертензія, являють собою потенційнімішені щодо  розробок патогенетичної терапії ішемічних уражень мозку, зокрема тих, що асоційовані із високими значеннями ВЧТ. Інтракраніальнагеморагія внаслідок редукції кровобігу по мозковим судинам, є причиною гемодинамічних зрушень, що опосередковано через лікворогіпертензію призводить до енергодефіциту і зменшення пулу макроергів. Отже, енергетичний дефіцит та субстратний голод, який виникає </w:t>
      </w:r>
      <w:r w:rsidR="00C46702">
        <w:rPr>
          <w:rFonts w:ascii="Times New Roman" w:hAnsi="Times New Roman"/>
          <w:sz w:val="28"/>
          <w:szCs w:val="28"/>
          <w:lang w:val="uk-UA"/>
        </w:rPr>
        <w:t xml:space="preserve"> при обмеженні</w:t>
      </w:r>
      <w:r w:rsidRPr="00012F54">
        <w:rPr>
          <w:rFonts w:ascii="Times New Roman" w:hAnsi="Times New Roman"/>
          <w:sz w:val="28"/>
          <w:szCs w:val="28"/>
          <w:lang w:val="uk-UA"/>
        </w:rPr>
        <w:t xml:space="preserve"> транспорту глюкози – ключовий чинник, що сприяє надмірному накопиченню основного нейротрансмітера нейронів: глутамату (глутаматнаексайтотоксичність), що супроводжується надпороговим збудженням активності NMDA-рецепторів </w:t>
      </w:r>
      <w:r w:rsidRPr="00012F54">
        <w:rPr>
          <w:rStyle w:val="longtext"/>
          <w:rFonts w:ascii="Times New Roman" w:hAnsi="Times New Roman"/>
          <w:sz w:val="28"/>
          <w:szCs w:val="28"/>
          <w:lang w:val="uk-UA"/>
        </w:rPr>
        <w:t>[5, 38</w:t>
      </w:r>
      <w:r w:rsidRPr="00012F54">
        <w:rPr>
          <w:rFonts w:ascii="Times New Roman" w:hAnsi="Times New Roman"/>
          <w:sz w:val="28"/>
          <w:szCs w:val="28"/>
          <w:lang w:val="uk-UA"/>
        </w:rPr>
        <w:t>–</w:t>
      </w:r>
      <w:r w:rsidRPr="00012F54">
        <w:rPr>
          <w:rStyle w:val="longtext"/>
          <w:rFonts w:ascii="Times New Roman" w:hAnsi="Times New Roman"/>
          <w:sz w:val="28"/>
          <w:szCs w:val="28"/>
          <w:lang w:val="uk-UA"/>
        </w:rPr>
        <w:t>41]</w:t>
      </w:r>
      <w:r w:rsidRPr="00012F54">
        <w:rPr>
          <w:rFonts w:ascii="Times New Roman" w:hAnsi="Times New Roman"/>
          <w:sz w:val="28"/>
          <w:szCs w:val="28"/>
          <w:lang w:val="uk-UA"/>
        </w:rPr>
        <w:t xml:space="preserve">. </w:t>
      </w:r>
    </w:p>
    <w:p w:rsidR="00012F54" w:rsidRPr="00012F54" w:rsidRDefault="00012F54" w:rsidP="00B065B6">
      <w:pPr>
        <w:shd w:val="clear" w:color="auto" w:fill="FFFFFF"/>
        <w:tabs>
          <w:tab w:val="left" w:pos="-1080"/>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Глуматнаексайтотоксичність деблокує магнієвий «корок», наслідком чого стає лавиноподібне масивне потрапляння іонів кальцію через однойменні канали в цитоплазму нейронів. Надмірне накопичення іонів кальцію є фактором, котрий ініціює принаймні три патогенетичні ланки ішемічного каскаду, що безпосередньо можуть фінішувати загибель нейронів або апоптотичним шляхом, або внаслідок онкозу</w:t>
      </w:r>
      <w:r w:rsidRPr="00012F54">
        <w:rPr>
          <w:rStyle w:val="longtext"/>
          <w:rFonts w:ascii="Times New Roman" w:hAnsi="Times New Roman"/>
          <w:sz w:val="28"/>
          <w:szCs w:val="28"/>
          <w:lang w:val="uk-UA"/>
        </w:rPr>
        <w:t>[</w:t>
      </w:r>
      <w:r w:rsidRPr="00012F54">
        <w:rPr>
          <w:rFonts w:ascii="Times New Roman" w:hAnsi="Times New Roman"/>
          <w:color w:val="000000"/>
          <w:sz w:val="28"/>
          <w:szCs w:val="28"/>
          <w:shd w:val="clear" w:color="auto" w:fill="FFFFFF"/>
          <w:lang w:val="uk-UA"/>
        </w:rPr>
        <w:t>42</w:t>
      </w:r>
      <w:r w:rsidRPr="00012F54">
        <w:rPr>
          <w:rFonts w:ascii="Times New Roman" w:hAnsi="Times New Roman"/>
          <w:sz w:val="28"/>
          <w:szCs w:val="28"/>
          <w:lang w:val="uk-UA"/>
        </w:rPr>
        <w:t>–</w:t>
      </w:r>
      <w:r w:rsidRPr="00012F54">
        <w:rPr>
          <w:rFonts w:ascii="Times New Roman" w:hAnsi="Times New Roman"/>
          <w:color w:val="000000"/>
          <w:sz w:val="28"/>
          <w:szCs w:val="28"/>
          <w:shd w:val="clear" w:color="auto" w:fill="FFFFFF"/>
          <w:lang w:val="uk-UA"/>
        </w:rPr>
        <w:t>45</w:t>
      </w:r>
      <w:r w:rsidRPr="00012F54">
        <w:rPr>
          <w:rStyle w:val="longtext"/>
          <w:rFonts w:ascii="Times New Roman" w:hAnsi="Times New Roman"/>
          <w:sz w:val="28"/>
          <w:szCs w:val="28"/>
          <w:lang w:val="uk-UA"/>
        </w:rPr>
        <w:t>]</w:t>
      </w:r>
      <w:r w:rsidRPr="00012F54">
        <w:rPr>
          <w:rFonts w:ascii="Times New Roman" w:hAnsi="Times New Roman"/>
          <w:sz w:val="28"/>
          <w:szCs w:val="28"/>
          <w:lang w:val="uk-UA"/>
        </w:rPr>
        <w:t xml:space="preserve">. По-перше, іони кальцію індукують надмірну, лавиноподібну генерацію вільних радикалів, особливо у мітохондріях, що сприяє формуванню мітохондріальної пори; отож даний процес – один із наріжних каменів при розладах енергетичного балансу. По-друге, від наявного пулу іонізованого кальцію залежить експресія активності кальцій-залежної NO-синтази, патологічно змінена активність якої сприяє формуванню нітрозативного стресу, дисбалансу в обміні монооксиду азоту та синтезі ендотелій – релаксуючого фактору, а значить відбувається порушення церебральної мікроциркуляції, що супроводжується енергодефіцитом. По-третє, кальцій відіграє провідну роль у реалізації апоптотичних та некротичних програм, тобто, у підсумку призводить до мембранодеструкції. </w:t>
      </w:r>
    </w:p>
    <w:p w:rsidR="00012F54" w:rsidRPr="00012F54" w:rsidRDefault="00012F54" w:rsidP="00B065B6">
      <w:pPr>
        <w:shd w:val="clear" w:color="auto" w:fill="FFFFFF"/>
        <w:tabs>
          <w:tab w:val="left" w:pos="-1080"/>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lastRenderedPageBreak/>
        <w:t xml:space="preserve">Отже, глутаматнаексайтотоксичність, через месенджерні агенти індукує одразу декілька різнонаправлених векторів патобіохімічного каскаду, які, однак, між собою мають тісний взаємозвꞌязок, і фармакологічно, діючи на первинну ланку (глутамат), можна отримати віддалений метаболітотропний ефект </w:t>
      </w:r>
      <w:r w:rsidRPr="00012F54">
        <w:rPr>
          <w:rStyle w:val="longtext"/>
          <w:rFonts w:ascii="Times New Roman" w:hAnsi="Times New Roman"/>
          <w:sz w:val="28"/>
          <w:szCs w:val="28"/>
          <w:lang w:val="uk-UA"/>
        </w:rPr>
        <w:t>[38, 46, 47]</w:t>
      </w:r>
      <w:r w:rsidRPr="00012F54">
        <w:rPr>
          <w:rFonts w:ascii="Times New Roman" w:hAnsi="Times New Roman"/>
          <w:sz w:val="28"/>
          <w:szCs w:val="28"/>
          <w:lang w:val="uk-UA"/>
        </w:rPr>
        <w:t xml:space="preserve">. Енергетичний голод, оксидативний та нітрозативний стрес, відіграють провідну роль в апоптозі нейронів при ГІ, а енергія акумульована у макроергічнихзвяꞌзках – лімітуючий фактор напрямку, за яким буде відбуватись елімінація необоротно ушкоджених клітин: апоптозу або онкозу (некрозу). В метаболічному сенсі, принципова різниця між цими двома видами клітинної загибелі полягає у тому, що апоптоз, на відміну від некрозу – це енергоємний процес, оскільки протікання кожної стадії, регулюється великою кількістю біологічно-активних речовин, ферментів, тощо, для функціонування яких необхідна АТФ. З морфологічної точки зору, ці явища різняться за наявним збереженням цілісності мембранної стінки. Так, якщо при апоптозі вона не ушкоджується, то при онкозі – навпаки, наявні чисельні розриви мембран, вихід протеолітичних ферментів та інших цитотоксичних продуктів оксидативного стресу назовні, що знаменується розвитком асептичного запалення у вогнищі геморагії, яке підтримує його експансію </w:t>
      </w:r>
      <w:r w:rsidRPr="00012F54">
        <w:rPr>
          <w:rStyle w:val="longtext"/>
          <w:rFonts w:ascii="Times New Roman" w:hAnsi="Times New Roman"/>
          <w:sz w:val="28"/>
          <w:szCs w:val="28"/>
          <w:lang w:val="uk-UA"/>
        </w:rPr>
        <w:t>[48</w:t>
      </w:r>
      <w:r w:rsidRPr="00012F54">
        <w:rPr>
          <w:rFonts w:ascii="Times New Roman" w:hAnsi="Times New Roman"/>
          <w:sz w:val="28"/>
          <w:szCs w:val="28"/>
          <w:lang w:val="uk-UA"/>
        </w:rPr>
        <w:t>–</w:t>
      </w:r>
      <w:r w:rsidRPr="00012F54">
        <w:rPr>
          <w:rStyle w:val="longtext"/>
          <w:rFonts w:ascii="Times New Roman" w:hAnsi="Times New Roman"/>
          <w:sz w:val="28"/>
          <w:szCs w:val="28"/>
          <w:lang w:val="uk-UA"/>
        </w:rPr>
        <w:t>52]</w:t>
      </w:r>
      <w:r w:rsidRPr="00012F54">
        <w:rPr>
          <w:rFonts w:ascii="Times New Roman" w:hAnsi="Times New Roman"/>
          <w:sz w:val="28"/>
          <w:szCs w:val="28"/>
          <w:lang w:val="uk-UA"/>
        </w:rPr>
        <w:t>.</w:t>
      </w:r>
    </w:p>
    <w:p w:rsidR="00012F54" w:rsidRPr="00EF08E1" w:rsidRDefault="00012F54" w:rsidP="00B065B6">
      <w:pPr>
        <w:shd w:val="clear" w:color="auto" w:fill="FFFFFF"/>
        <w:tabs>
          <w:tab w:val="left" w:pos="-1080"/>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Окреслені метаболічні зміни набувають ще більшої</w:t>
      </w:r>
      <w:r w:rsidR="00741C5C">
        <w:rPr>
          <w:rFonts w:ascii="Times New Roman" w:hAnsi="Times New Roman"/>
          <w:sz w:val="28"/>
          <w:szCs w:val="28"/>
          <w:lang w:val="uk-UA"/>
        </w:rPr>
        <w:t xml:space="preserve"> тяжкості в умовах гіперглікемії</w:t>
      </w:r>
      <w:r w:rsidRPr="00012F54">
        <w:rPr>
          <w:rFonts w:ascii="Times New Roman" w:hAnsi="Times New Roman"/>
          <w:sz w:val="28"/>
          <w:szCs w:val="28"/>
          <w:lang w:val="uk-UA"/>
        </w:rPr>
        <w:t xml:space="preserve">, наприклад при ЦД, особливо першого типу. У першу чергу, це пов’язано з тим, що постійна довготриваюча гіперглікемія чинить нейротоксичну дію не тільки на периферичну ЦНС, а й на клітини мозку </w:t>
      </w:r>
      <w:r w:rsidRPr="00012F54">
        <w:rPr>
          <w:rStyle w:val="longtext"/>
          <w:rFonts w:ascii="Times New Roman" w:hAnsi="Times New Roman"/>
          <w:sz w:val="28"/>
          <w:szCs w:val="28"/>
          <w:lang w:val="uk-UA"/>
        </w:rPr>
        <w:t>[17, 53, 54]</w:t>
      </w:r>
      <w:r w:rsidRPr="00012F54">
        <w:rPr>
          <w:rFonts w:ascii="Times New Roman" w:hAnsi="Times New Roman"/>
          <w:sz w:val="28"/>
          <w:szCs w:val="28"/>
          <w:lang w:val="uk-UA"/>
        </w:rPr>
        <w:t>. При цьому, не дивлячись на той факт, що в крові концентрація глюкози може перевищувати її фізіологічну норму в рази, у клітини вона, через відсутність інсуліну, потрапити не може, а значить має місце субстратнийенергодефіцит, навіть за нормальних показниках мікроциркуляції та локального кровоплину. Така гіперглікемія, окрім нейротоксичної дії, чинить також і ендотеліотоксичний вплив, що в підсумку погіршу</w:t>
      </w:r>
      <w:r w:rsidR="00741C5C">
        <w:rPr>
          <w:rFonts w:ascii="Times New Roman" w:hAnsi="Times New Roman"/>
          <w:sz w:val="28"/>
          <w:szCs w:val="28"/>
          <w:lang w:val="uk-UA"/>
        </w:rPr>
        <w:t>є кровопостачання як мозку, так</w:t>
      </w:r>
      <w:r w:rsidRPr="00012F54">
        <w:rPr>
          <w:rFonts w:ascii="Times New Roman" w:hAnsi="Times New Roman"/>
          <w:sz w:val="28"/>
          <w:szCs w:val="28"/>
          <w:lang w:val="uk-UA"/>
        </w:rPr>
        <w:t xml:space="preserve"> і інших органів мішеней при ЦД </w:t>
      </w:r>
      <w:r w:rsidRPr="00012F54">
        <w:rPr>
          <w:rStyle w:val="longtext"/>
          <w:rFonts w:ascii="Times New Roman" w:hAnsi="Times New Roman"/>
          <w:sz w:val="28"/>
          <w:szCs w:val="28"/>
          <w:lang w:val="uk-UA"/>
        </w:rPr>
        <w:t>[53, 55]</w:t>
      </w:r>
      <w:r w:rsidRPr="00012F54">
        <w:rPr>
          <w:rFonts w:ascii="Times New Roman" w:hAnsi="Times New Roman"/>
          <w:sz w:val="28"/>
          <w:szCs w:val="28"/>
          <w:lang w:val="uk-UA"/>
        </w:rPr>
        <w:t xml:space="preserve">. Це пов’язано із тим, що при довготривалій некомпенсованій гіперглікемії, накопичується глікозильований гемоглобін, який через морфо-структурні зміни в ендотелії сприяє діапедезу форменних елементів та імбібіції (просякнення) кров’ю нервової тканини в басейні патологічно зміненої судини. </w:t>
      </w:r>
      <w:r w:rsidRPr="002F4D2E">
        <w:rPr>
          <w:rFonts w:ascii="Times New Roman" w:hAnsi="Times New Roman"/>
          <w:sz w:val="28"/>
          <w:szCs w:val="28"/>
          <w:lang w:val="uk-UA"/>
        </w:rPr>
        <w:t xml:space="preserve">При прогресуванні та </w:t>
      </w:r>
      <w:r w:rsidRPr="002F4D2E">
        <w:rPr>
          <w:rFonts w:ascii="Times New Roman" w:hAnsi="Times New Roman"/>
          <w:sz w:val="28"/>
          <w:szCs w:val="28"/>
          <w:lang w:val="uk-UA"/>
        </w:rPr>
        <w:lastRenderedPageBreak/>
        <w:t xml:space="preserve">відсутності належної компенсації, можливий розрив судини або ж аневризми, з наступною екстравазацією крові в мозок чи САП. Таким чином, ЦД є важким преморбідним фоном, який через порушення всіх видів клітинного метаболізму (в першу чергу, вуглеводного та </w:t>
      </w:r>
      <w:r w:rsidRPr="00EF08E1">
        <w:rPr>
          <w:rFonts w:ascii="Times New Roman" w:hAnsi="Times New Roman"/>
          <w:sz w:val="28"/>
          <w:szCs w:val="28"/>
          <w:lang w:val="uk-UA"/>
        </w:rPr>
        <w:t>жирового), значно погіршує перебіг інтракраніального крововиливу різного ґенезу.</w:t>
      </w:r>
    </w:p>
    <w:p w:rsidR="00012F54" w:rsidRPr="005879AB" w:rsidRDefault="00012F54" w:rsidP="00B065B6">
      <w:pPr>
        <w:pStyle w:val="2"/>
        <w:spacing w:line="360" w:lineRule="auto"/>
        <w:ind w:firstLine="284"/>
        <w:jc w:val="both"/>
        <w:rPr>
          <w:rFonts w:ascii="Times New Roman" w:hAnsi="Times New Roman" w:cs="Times New Roman"/>
          <w:color w:val="auto"/>
          <w:sz w:val="28"/>
          <w:szCs w:val="28"/>
          <w:lang w:val="uk-UA"/>
        </w:rPr>
      </w:pPr>
      <w:r w:rsidRPr="005879AB">
        <w:rPr>
          <w:rFonts w:ascii="Times New Roman" w:hAnsi="Times New Roman" w:cs="Times New Roman"/>
          <w:color w:val="auto"/>
          <w:sz w:val="28"/>
          <w:szCs w:val="28"/>
          <w:lang w:val="uk-UA"/>
        </w:rPr>
        <w:t>1.2. Програма цитопротекторної терапії (у тому числі нейропротективної) в Україні та за кордоном: здобутки, недоліки та новітні напрями розвитку</w:t>
      </w:r>
    </w:p>
    <w:p w:rsidR="00012F54" w:rsidRPr="00012F54" w:rsidRDefault="00012F54" w:rsidP="00B065B6">
      <w:pPr>
        <w:widowControl w:val="0"/>
        <w:tabs>
          <w:tab w:val="left" w:pos="851"/>
          <w:tab w:val="left" w:pos="993"/>
        </w:tabs>
        <w:spacing w:after="0" w:line="360" w:lineRule="auto"/>
        <w:ind w:firstLine="284"/>
        <w:jc w:val="both"/>
        <w:rPr>
          <w:rFonts w:ascii="Times New Roman" w:hAnsi="Times New Roman"/>
          <w:sz w:val="28"/>
          <w:szCs w:val="28"/>
          <w:lang w:val="uk-UA"/>
        </w:rPr>
      </w:pPr>
      <w:r w:rsidRPr="00EF08E1">
        <w:rPr>
          <w:rFonts w:ascii="Times New Roman" w:hAnsi="Times New Roman"/>
          <w:sz w:val="28"/>
          <w:szCs w:val="28"/>
          <w:lang w:val="uk-UA"/>
        </w:rPr>
        <w:t xml:space="preserve">В Україні та на теренах переважної більшості країн пострадянського </w:t>
      </w:r>
      <w:r w:rsidRPr="002F4D2E">
        <w:rPr>
          <w:rFonts w:ascii="Times New Roman" w:hAnsi="Times New Roman"/>
          <w:sz w:val="28"/>
          <w:szCs w:val="28"/>
          <w:lang w:val="uk-UA"/>
        </w:rPr>
        <w:t>простору, ще в середині 90-х років почали інтенсивно розвиватись засади та основні напрямки цитопротективноїметаболітотропної терапії захворювань різнонаправленої</w:t>
      </w:r>
      <w:r w:rsidRPr="00012F54">
        <w:rPr>
          <w:rFonts w:ascii="Times New Roman" w:hAnsi="Times New Roman"/>
          <w:sz w:val="28"/>
          <w:szCs w:val="28"/>
          <w:lang w:val="uk-UA"/>
        </w:rPr>
        <w:t xml:space="preserve"> етіології, патогенез яких пов'язаний із формуванням ішемічно-гіпоксичного каскаду постгеморагічної природи </w:t>
      </w:r>
      <w:r w:rsidRPr="00012F54">
        <w:rPr>
          <w:rStyle w:val="longtext"/>
          <w:rFonts w:ascii="Times New Roman" w:hAnsi="Times New Roman"/>
          <w:sz w:val="28"/>
          <w:szCs w:val="28"/>
          <w:lang w:val="uk-UA"/>
        </w:rPr>
        <w:t>[</w:t>
      </w:r>
      <w:r w:rsidRPr="00012F54">
        <w:rPr>
          <w:rFonts w:ascii="Times New Roman" w:hAnsi="Times New Roman"/>
          <w:sz w:val="28"/>
          <w:szCs w:val="28"/>
          <w:lang w:val="uk-UA"/>
        </w:rPr>
        <w:t>56–58</w:t>
      </w:r>
      <w:r w:rsidRPr="00012F54">
        <w:rPr>
          <w:rStyle w:val="longtext"/>
          <w:rFonts w:ascii="Times New Roman" w:hAnsi="Times New Roman"/>
          <w:sz w:val="28"/>
          <w:szCs w:val="28"/>
          <w:lang w:val="uk-UA"/>
        </w:rPr>
        <w:t>]</w:t>
      </w:r>
      <w:r w:rsidRPr="00012F54">
        <w:rPr>
          <w:rFonts w:ascii="Times New Roman" w:hAnsi="Times New Roman"/>
          <w:sz w:val="28"/>
          <w:szCs w:val="28"/>
          <w:lang w:val="uk-UA"/>
        </w:rPr>
        <w:t xml:space="preserve">. Відповідно до цього, зꞌявилась ціла низка препаратів-органопротекторів, зокрема церебро-(нейро-), кардіо-, офтальмо- гепато- та нефротропної природи. Причому, за багатьма напрямками вони мали спільні покази до застосування, оскільки в абсолютній більшості випадків, механізми їх захисної дії </w:t>
      </w:r>
      <w:bookmarkStart w:id="29" w:name="_Hlk484893009"/>
      <w:r w:rsidRPr="00012F54">
        <w:rPr>
          <w:rFonts w:ascii="Times New Roman" w:hAnsi="Times New Roman"/>
          <w:sz w:val="28"/>
          <w:szCs w:val="28"/>
          <w:lang w:val="uk-UA"/>
        </w:rPr>
        <w:t>ґ</w:t>
      </w:r>
      <w:bookmarkEnd w:id="29"/>
      <w:r w:rsidRPr="00012F54">
        <w:rPr>
          <w:rFonts w:ascii="Times New Roman" w:hAnsi="Times New Roman"/>
          <w:sz w:val="28"/>
          <w:szCs w:val="28"/>
          <w:lang w:val="uk-UA"/>
        </w:rPr>
        <w:t xml:space="preserve">рунтуються на антигіпоксичній, антиоксидантній та енергомодулювальній активності, тобто вони спроможні впливати на </w:t>
      </w:r>
      <w:r w:rsidR="00551D47">
        <w:rPr>
          <w:rFonts w:ascii="Times New Roman" w:hAnsi="Times New Roman"/>
          <w:sz w:val="28"/>
          <w:szCs w:val="28"/>
          <w:lang w:val="uk-UA"/>
        </w:rPr>
        <w:t>широкий спектр нозологій ішемічно</w:t>
      </w:r>
      <w:r w:rsidRPr="00012F54">
        <w:rPr>
          <w:rFonts w:ascii="Times New Roman" w:hAnsi="Times New Roman"/>
          <w:sz w:val="28"/>
          <w:szCs w:val="28"/>
          <w:lang w:val="uk-UA"/>
        </w:rPr>
        <w:t xml:space="preserve">-гіпоксичної природи, не зважаючи на те, в якій системі органів мав місце процес </w:t>
      </w:r>
      <w:r w:rsidRPr="00012F54">
        <w:rPr>
          <w:rStyle w:val="longtext"/>
          <w:rFonts w:ascii="Times New Roman" w:hAnsi="Times New Roman"/>
          <w:sz w:val="28"/>
          <w:szCs w:val="28"/>
          <w:lang w:val="uk-UA"/>
        </w:rPr>
        <w:t>[59, 60]</w:t>
      </w:r>
      <w:r w:rsidRPr="00012F54">
        <w:rPr>
          <w:rFonts w:ascii="Times New Roman" w:hAnsi="Times New Roman"/>
          <w:sz w:val="28"/>
          <w:szCs w:val="28"/>
          <w:lang w:val="uk-UA"/>
        </w:rPr>
        <w:t>. Отож не дивно, що препарати цієї спрямованості дуже швидко завоювали фармацевтичний</w:t>
      </w:r>
      <w:r w:rsidR="00551D47">
        <w:rPr>
          <w:rFonts w:ascii="Times New Roman" w:hAnsi="Times New Roman"/>
          <w:sz w:val="28"/>
          <w:szCs w:val="28"/>
          <w:lang w:val="uk-UA"/>
        </w:rPr>
        <w:t xml:space="preserve"> ринок та міцно увійшли до схем</w:t>
      </w:r>
      <w:r w:rsidRPr="00012F54">
        <w:rPr>
          <w:rFonts w:ascii="Times New Roman" w:hAnsi="Times New Roman"/>
          <w:sz w:val="28"/>
          <w:szCs w:val="28"/>
          <w:lang w:val="uk-UA"/>
        </w:rPr>
        <w:t xml:space="preserve"> лікування як хронічних захворювань, так і ургентних станів. </w:t>
      </w:r>
    </w:p>
    <w:p w:rsidR="00012F54" w:rsidRPr="00012F54" w:rsidRDefault="00012F54" w:rsidP="00B065B6">
      <w:pPr>
        <w:widowControl w:val="0"/>
        <w:tabs>
          <w:tab w:val="left" w:pos="851"/>
          <w:tab w:val="left" w:pos="993"/>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В деяких країнах, препарати із подібними властивостями входять до обов’язкових при наданні невідкладної патології та включені до відповідних протоколів, рекомен</w:t>
      </w:r>
      <w:r w:rsidR="00784504">
        <w:rPr>
          <w:rFonts w:ascii="Times New Roman" w:hAnsi="Times New Roman"/>
          <w:sz w:val="28"/>
          <w:szCs w:val="28"/>
          <w:lang w:val="uk-UA"/>
        </w:rPr>
        <w:t>-</w:t>
      </w:r>
      <w:r w:rsidRPr="00012F54">
        <w:rPr>
          <w:rFonts w:ascii="Times New Roman" w:hAnsi="Times New Roman"/>
          <w:sz w:val="28"/>
          <w:szCs w:val="28"/>
          <w:lang w:val="uk-UA"/>
        </w:rPr>
        <w:t>дацій та настанов. І дійсно, порівнюючи механізм їх цитопротективної спрямованості з патогенезом захворювань ЦНС та серцево-судинної систем (інсульт, інфаркт, ЧМТ), хвороб печінки та нирок (гепатити різної природи, нефрити, печін</w:t>
      </w:r>
      <w:r w:rsidR="00784504">
        <w:rPr>
          <w:rFonts w:ascii="Times New Roman" w:hAnsi="Times New Roman"/>
          <w:sz w:val="28"/>
          <w:szCs w:val="28"/>
          <w:lang w:val="uk-UA"/>
        </w:rPr>
        <w:t>-</w:t>
      </w:r>
      <w:r w:rsidRPr="00012F54">
        <w:rPr>
          <w:rFonts w:ascii="Times New Roman" w:hAnsi="Times New Roman"/>
          <w:sz w:val="28"/>
          <w:szCs w:val="28"/>
          <w:lang w:val="uk-UA"/>
        </w:rPr>
        <w:t xml:space="preserve">кова та ниркова недостатність, тощо) на лице цілковита компліментарність </w:t>
      </w:r>
      <w:r w:rsidRPr="00012F54">
        <w:rPr>
          <w:rStyle w:val="longtext"/>
          <w:rFonts w:ascii="Times New Roman" w:hAnsi="Times New Roman"/>
          <w:sz w:val="28"/>
          <w:szCs w:val="28"/>
          <w:lang w:val="uk-UA"/>
        </w:rPr>
        <w:t>[</w:t>
      </w:r>
      <w:r w:rsidRPr="00012F54">
        <w:rPr>
          <w:rFonts w:ascii="Times New Roman" w:hAnsi="Times New Roman"/>
          <w:sz w:val="28"/>
          <w:szCs w:val="28"/>
          <w:lang w:val="uk-UA"/>
        </w:rPr>
        <w:t>61</w:t>
      </w:r>
      <w:r w:rsidRPr="00012F54">
        <w:rPr>
          <w:rStyle w:val="longtext"/>
          <w:rFonts w:ascii="Times New Roman" w:hAnsi="Times New Roman"/>
          <w:sz w:val="28"/>
          <w:szCs w:val="28"/>
          <w:lang w:val="uk-UA"/>
        </w:rPr>
        <w:t>]</w:t>
      </w:r>
      <w:r w:rsidRPr="00012F54">
        <w:rPr>
          <w:rFonts w:ascii="Times New Roman" w:hAnsi="Times New Roman"/>
          <w:sz w:val="28"/>
          <w:szCs w:val="28"/>
          <w:lang w:val="uk-UA"/>
        </w:rPr>
        <w:t>. Крім того, вирішу</w:t>
      </w:r>
      <w:r w:rsidR="00784504">
        <w:rPr>
          <w:rFonts w:ascii="Times New Roman" w:hAnsi="Times New Roman"/>
          <w:sz w:val="28"/>
          <w:szCs w:val="28"/>
          <w:lang w:val="uk-UA"/>
        </w:rPr>
        <w:t>-</w:t>
      </w:r>
      <w:r w:rsidRPr="00012F54">
        <w:rPr>
          <w:rFonts w:ascii="Times New Roman" w:hAnsi="Times New Roman"/>
          <w:sz w:val="28"/>
          <w:szCs w:val="28"/>
          <w:lang w:val="uk-UA"/>
        </w:rPr>
        <w:t xml:space="preserve">валось питання поліпрагмазії, яке завжди присутнє у пацієнтів реаніматологічного профілю, у котрих одночасно має місце </w:t>
      </w:r>
      <w:r w:rsidR="00B70487">
        <w:rPr>
          <w:rFonts w:ascii="Times New Roman" w:hAnsi="Times New Roman"/>
          <w:sz w:val="28"/>
          <w:szCs w:val="28"/>
          <w:lang w:val="uk-UA"/>
        </w:rPr>
        <w:t>одразу декілька синдромо</w:t>
      </w:r>
      <w:r w:rsidRPr="00012F54">
        <w:rPr>
          <w:rFonts w:ascii="Times New Roman" w:hAnsi="Times New Roman"/>
          <w:sz w:val="28"/>
          <w:szCs w:val="28"/>
          <w:lang w:val="uk-UA"/>
        </w:rPr>
        <w:t xml:space="preserve">комплексів та ці зміни пов’язані із ІР або гіпоксією вітальних органів і систем. Неврологічна практика не стала винятком. Зважаючи на </w:t>
      </w:r>
      <w:r w:rsidRPr="00012F54">
        <w:rPr>
          <w:rFonts w:ascii="Times New Roman" w:hAnsi="Times New Roman"/>
          <w:sz w:val="28"/>
          <w:szCs w:val="28"/>
          <w:lang w:val="uk-UA"/>
        </w:rPr>
        <w:lastRenderedPageBreak/>
        <w:t>анатомо-мофологічніособ</w:t>
      </w:r>
      <w:r w:rsidR="00784504">
        <w:rPr>
          <w:rFonts w:ascii="Times New Roman" w:hAnsi="Times New Roman"/>
          <w:sz w:val="28"/>
          <w:szCs w:val="28"/>
          <w:lang w:val="uk-UA"/>
        </w:rPr>
        <w:t>-</w:t>
      </w:r>
      <w:r w:rsidRPr="00012F54">
        <w:rPr>
          <w:rFonts w:ascii="Times New Roman" w:hAnsi="Times New Roman"/>
          <w:sz w:val="28"/>
          <w:szCs w:val="28"/>
          <w:lang w:val="uk-UA"/>
        </w:rPr>
        <w:t>ливості ЦНС та той факт, що для широкого кола захворювань (артеріальна гіпертензія, ЦД, травми, тощо), мо</w:t>
      </w:r>
      <w:r w:rsidR="00784504">
        <w:rPr>
          <w:rFonts w:ascii="Times New Roman" w:hAnsi="Times New Roman"/>
          <w:sz w:val="28"/>
          <w:szCs w:val="28"/>
          <w:lang w:val="uk-UA"/>
        </w:rPr>
        <w:t>-</w:t>
      </w:r>
      <w:r w:rsidRPr="00012F54">
        <w:rPr>
          <w:rFonts w:ascii="Times New Roman" w:hAnsi="Times New Roman"/>
          <w:sz w:val="28"/>
          <w:szCs w:val="28"/>
          <w:lang w:val="uk-UA"/>
        </w:rPr>
        <w:t>зок та його судини, є первинними мішенями, цілком доречною та спроможною стала екстраполяція механізмів дії цитопротекторів, які вже знайшли своє застосува</w:t>
      </w:r>
      <w:r w:rsidR="00241141">
        <w:rPr>
          <w:rFonts w:ascii="Times New Roman" w:hAnsi="Times New Roman"/>
          <w:sz w:val="28"/>
          <w:szCs w:val="28"/>
          <w:lang w:val="uk-UA"/>
        </w:rPr>
        <w:t xml:space="preserve">ння в </w:t>
      </w:r>
      <w:r w:rsidRPr="00012F54">
        <w:rPr>
          <w:rFonts w:ascii="Times New Roman" w:hAnsi="Times New Roman"/>
          <w:sz w:val="28"/>
          <w:szCs w:val="28"/>
          <w:lang w:val="uk-UA"/>
        </w:rPr>
        <w:t xml:space="preserve">неврології </w:t>
      </w:r>
      <w:r w:rsidRPr="00012F54">
        <w:rPr>
          <w:rStyle w:val="longtext"/>
          <w:rFonts w:ascii="Times New Roman" w:hAnsi="Times New Roman"/>
          <w:sz w:val="28"/>
          <w:szCs w:val="28"/>
          <w:lang w:val="uk-UA"/>
        </w:rPr>
        <w:t>[</w:t>
      </w:r>
      <w:r w:rsidRPr="00012F54">
        <w:rPr>
          <w:rFonts w:ascii="Times New Roman" w:hAnsi="Times New Roman"/>
          <w:sz w:val="28"/>
          <w:szCs w:val="28"/>
          <w:lang w:val="uk-UA"/>
        </w:rPr>
        <w:t>63–66</w:t>
      </w:r>
      <w:r w:rsidRPr="00012F54">
        <w:rPr>
          <w:rStyle w:val="longtext"/>
          <w:rFonts w:ascii="Times New Roman" w:hAnsi="Times New Roman"/>
          <w:sz w:val="28"/>
          <w:szCs w:val="28"/>
          <w:lang w:val="uk-UA"/>
        </w:rPr>
        <w:t>]</w:t>
      </w:r>
      <w:r w:rsidRPr="00012F54">
        <w:rPr>
          <w:rFonts w:ascii="Times New Roman" w:hAnsi="Times New Roman"/>
          <w:sz w:val="28"/>
          <w:szCs w:val="28"/>
          <w:lang w:val="uk-UA"/>
        </w:rPr>
        <w:t xml:space="preserve">. Це, здебільшого, робило правомірним застосування неврологами та реаніматологами препаратів із вираженими антигіпоксичними, антиоксидантними та ангіопротективними якостями, прямими показами до застосування яких був інфаркт міокарда та інша гостра судинна патологія. </w:t>
      </w:r>
    </w:p>
    <w:p w:rsidR="00012F54" w:rsidRPr="00012F54" w:rsidRDefault="00012F54" w:rsidP="00B065B6">
      <w:pPr>
        <w:widowControl w:val="0"/>
        <w:tabs>
          <w:tab w:val="left" w:pos="851"/>
          <w:tab w:val="left" w:pos="993"/>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У цьому розрізі, перед клініцистами стають нагальними два питання. Перше з яких, зважаючи на тривалі традиції практичного застосування органопротекторів, могло бути вирішеним та давно з’ясованим, і криється воно у належній доказовій базі ефективності, тобто мова йде про засади так званої «доказової медицини» та виконання принципів «належної клінічної практики». Згідно визначення терміну «доказова медицина», яке наведено у Фармацевтичній енциклопедії </w:t>
      </w:r>
      <w:r w:rsidRPr="00012F54">
        <w:rPr>
          <w:rFonts w:ascii="Times New Roman" w:hAnsi="Times New Roman"/>
          <w:color w:val="000000"/>
          <w:sz w:val="28"/>
          <w:szCs w:val="28"/>
          <w:shd w:val="clear" w:color="auto" w:fill="FFFFFF"/>
          <w:lang w:val="uk-UA"/>
        </w:rPr>
        <w:t xml:space="preserve">− </w:t>
      </w:r>
      <w:r w:rsidRPr="00012F54">
        <w:rPr>
          <w:rFonts w:ascii="Times New Roman" w:hAnsi="Times New Roman"/>
          <w:bCs/>
          <w:color w:val="000000"/>
          <w:sz w:val="28"/>
          <w:szCs w:val="28"/>
          <w:shd w:val="clear" w:color="auto" w:fill="FFFFFF"/>
          <w:lang w:val="uk-UA"/>
        </w:rPr>
        <w:t>це</w:t>
      </w:r>
      <w:r w:rsidRPr="00012F54">
        <w:rPr>
          <w:rFonts w:ascii="Times New Roman" w:hAnsi="Times New Roman"/>
          <w:color w:val="000000"/>
          <w:sz w:val="28"/>
          <w:szCs w:val="28"/>
          <w:shd w:val="clear" w:color="auto" w:fill="FFFFFF"/>
          <w:lang w:val="uk-UA"/>
        </w:rPr>
        <w:t xml:space="preserve"> застосування у щоденній медичній діяльності (у діагностиці, лікуванні й профілактиці) медичних технологій та лікарських засобів, ефективність яких встановлена у фармакоепідеміологічних дослідженнях із застосуванням математичної імовірності успіху й ризику </w:t>
      </w:r>
      <w:r w:rsidRPr="00012F54">
        <w:rPr>
          <w:rStyle w:val="longtext"/>
          <w:rFonts w:ascii="Times New Roman" w:hAnsi="Times New Roman"/>
          <w:sz w:val="28"/>
          <w:szCs w:val="28"/>
          <w:lang w:val="uk-UA"/>
        </w:rPr>
        <w:t>[67</w:t>
      </w:r>
      <w:r w:rsidRPr="00012F54">
        <w:rPr>
          <w:rFonts w:ascii="Times New Roman" w:hAnsi="Times New Roman"/>
          <w:sz w:val="28"/>
          <w:szCs w:val="28"/>
          <w:lang w:val="uk-UA"/>
        </w:rPr>
        <w:t>–</w:t>
      </w:r>
      <w:r w:rsidRPr="00012F54">
        <w:rPr>
          <w:rStyle w:val="longtext"/>
          <w:rFonts w:ascii="Times New Roman" w:hAnsi="Times New Roman"/>
          <w:sz w:val="28"/>
          <w:szCs w:val="28"/>
          <w:lang w:val="uk-UA"/>
        </w:rPr>
        <w:t>71]</w:t>
      </w:r>
      <w:r w:rsidRPr="00012F54">
        <w:rPr>
          <w:rFonts w:ascii="Times New Roman" w:hAnsi="Times New Roman"/>
          <w:sz w:val="28"/>
          <w:szCs w:val="28"/>
          <w:lang w:val="uk-UA"/>
        </w:rPr>
        <w:t>.</w:t>
      </w:r>
      <w:r w:rsidRPr="00012F54">
        <w:rPr>
          <w:rFonts w:ascii="Times New Roman" w:hAnsi="Times New Roman"/>
          <w:color w:val="000000"/>
          <w:sz w:val="28"/>
          <w:szCs w:val="28"/>
          <w:shd w:val="clear" w:color="auto" w:fill="FFFFFF"/>
          <w:lang w:val="uk-UA"/>
        </w:rPr>
        <w:t xml:space="preserve"> Основним методом доказов</w:t>
      </w:r>
      <w:r w:rsidR="00D945BC">
        <w:rPr>
          <w:rFonts w:ascii="Times New Roman" w:hAnsi="Times New Roman"/>
          <w:color w:val="000000"/>
          <w:sz w:val="28"/>
          <w:szCs w:val="28"/>
          <w:shd w:val="clear" w:color="auto" w:fill="FFFFFF"/>
          <w:lang w:val="uk-UA"/>
        </w:rPr>
        <w:t>ої медицини</w:t>
      </w:r>
      <w:r w:rsidRPr="00012F54">
        <w:rPr>
          <w:rFonts w:ascii="Times New Roman" w:hAnsi="Times New Roman"/>
          <w:color w:val="000000"/>
          <w:sz w:val="28"/>
          <w:szCs w:val="28"/>
          <w:shd w:val="clear" w:color="auto" w:fill="FFFFFF"/>
          <w:lang w:val="uk-UA"/>
        </w:rPr>
        <w:t>, є рандомізовані контрольовані дослідження, інформація про які міститься у основних базах (12 Центрів доказової медицини, та</w:t>
      </w:r>
      <w:r w:rsidRPr="00012F54">
        <w:rPr>
          <w:rFonts w:ascii="Times New Roman" w:hAnsi="Times New Roman"/>
          <w:iCs/>
          <w:color w:val="000000"/>
          <w:sz w:val="28"/>
          <w:szCs w:val="28"/>
          <w:shd w:val="clear" w:color="auto" w:fill="FFFFFF"/>
          <w:lang w:val="uk-UA"/>
        </w:rPr>
        <w:t>База даних Кокранівського товариства)</w:t>
      </w:r>
      <w:r w:rsidRPr="00012F54">
        <w:rPr>
          <w:rFonts w:ascii="Times New Roman" w:hAnsi="Times New Roman"/>
          <w:color w:val="000000"/>
          <w:sz w:val="28"/>
          <w:szCs w:val="28"/>
          <w:shd w:val="clear" w:color="auto" w:fill="FFFFFF"/>
          <w:lang w:val="uk-UA"/>
        </w:rPr>
        <w:t>.</w:t>
      </w:r>
      <w:r w:rsidRPr="00012F54">
        <w:rPr>
          <w:rStyle w:val="apple-converted-space"/>
          <w:rFonts w:ascii="Times New Roman" w:hAnsi="Times New Roman"/>
          <w:color w:val="000000"/>
          <w:sz w:val="28"/>
          <w:szCs w:val="28"/>
          <w:shd w:val="clear" w:color="auto" w:fill="FFFFFF"/>
          <w:lang w:val="uk-UA"/>
        </w:rPr>
        <w:t xml:space="preserve"> За інформацією баз формуються Міжнародні р</w:t>
      </w:r>
      <w:r w:rsidR="00D945BC">
        <w:rPr>
          <w:rStyle w:val="apple-converted-space"/>
          <w:rFonts w:ascii="Times New Roman" w:hAnsi="Times New Roman"/>
          <w:color w:val="000000"/>
          <w:sz w:val="28"/>
          <w:szCs w:val="28"/>
          <w:shd w:val="clear" w:color="auto" w:fill="FFFFFF"/>
          <w:lang w:val="uk-UA"/>
        </w:rPr>
        <w:t>екомендації щодо  ведення</w:t>
      </w:r>
      <w:r w:rsidRPr="00012F54">
        <w:rPr>
          <w:rStyle w:val="apple-converted-space"/>
          <w:rFonts w:ascii="Times New Roman" w:hAnsi="Times New Roman"/>
          <w:color w:val="000000"/>
          <w:sz w:val="28"/>
          <w:szCs w:val="28"/>
          <w:shd w:val="clear" w:color="auto" w:fill="FFFFFF"/>
          <w:lang w:val="uk-UA"/>
        </w:rPr>
        <w:t xml:space="preserve"> хворих з тією чи іншою патологією. Прикладом, можуть стати Європейські рекомендації щодо ведення пацієнтів із ГІ або ІІ та транзиторними ішемічними атаками </w:t>
      </w:r>
      <w:r w:rsidRPr="00012F54">
        <w:rPr>
          <w:rFonts w:ascii="Times New Roman" w:hAnsi="Times New Roman"/>
          <w:sz w:val="28"/>
          <w:szCs w:val="28"/>
          <w:lang w:val="uk-UA"/>
        </w:rPr>
        <w:t>(ЕСО, 2008)</w:t>
      </w:r>
      <w:r w:rsidR="00D945BC">
        <w:rPr>
          <w:rStyle w:val="apple-converted-space"/>
          <w:rFonts w:ascii="Times New Roman" w:hAnsi="Times New Roman"/>
          <w:color w:val="000000"/>
          <w:sz w:val="28"/>
          <w:szCs w:val="28"/>
          <w:shd w:val="clear" w:color="auto" w:fill="FFFFFF"/>
          <w:lang w:val="uk-UA"/>
        </w:rPr>
        <w:t>, де представленні</w:t>
      </w:r>
      <w:r w:rsidRPr="00012F54">
        <w:rPr>
          <w:rStyle w:val="apple-converted-space"/>
          <w:rFonts w:ascii="Times New Roman" w:hAnsi="Times New Roman"/>
          <w:color w:val="000000"/>
          <w:sz w:val="28"/>
          <w:szCs w:val="28"/>
          <w:shd w:val="clear" w:color="auto" w:fill="FFFFFF"/>
          <w:lang w:val="uk-UA"/>
        </w:rPr>
        <w:t xml:space="preserve"> виключно препарати і заходи, ефективність яких доведена. </w:t>
      </w:r>
      <w:r w:rsidRPr="00012F54">
        <w:rPr>
          <w:rFonts w:ascii="Times New Roman" w:hAnsi="Times New Roman"/>
          <w:sz w:val="28"/>
          <w:szCs w:val="28"/>
          <w:lang w:val="uk-UA"/>
        </w:rPr>
        <w:t>Згідно настанов ЕСО, єдиним препаратом</w:t>
      </w:r>
      <w:r w:rsidR="00D945BC">
        <w:rPr>
          <w:rFonts w:ascii="Times New Roman" w:hAnsi="Times New Roman"/>
          <w:sz w:val="28"/>
          <w:szCs w:val="28"/>
          <w:lang w:val="uk-UA"/>
        </w:rPr>
        <w:t>, який ефективно долає</w:t>
      </w:r>
      <w:r w:rsidRPr="00012F54">
        <w:rPr>
          <w:rFonts w:ascii="Times New Roman" w:hAnsi="Times New Roman"/>
          <w:sz w:val="28"/>
          <w:szCs w:val="28"/>
          <w:lang w:val="uk-UA"/>
        </w:rPr>
        <w:t xml:space="preserve"> вторинний церебровазоспазм при ГІ, є антагоніст Са</w:t>
      </w:r>
      <w:r w:rsidRPr="00012F54">
        <w:rPr>
          <w:rFonts w:ascii="Times New Roman" w:hAnsi="Times New Roman"/>
          <w:sz w:val="28"/>
          <w:szCs w:val="28"/>
          <w:vertAlign w:val="superscript"/>
          <w:lang w:val="uk-UA"/>
        </w:rPr>
        <w:t>2+</w:t>
      </w:r>
      <w:r w:rsidRPr="00012F54">
        <w:rPr>
          <w:rFonts w:ascii="Times New Roman" w:hAnsi="Times New Roman"/>
          <w:sz w:val="28"/>
          <w:szCs w:val="28"/>
          <w:lang w:val="uk-UA"/>
        </w:rPr>
        <w:t xml:space="preserve"> – німодипін (німотоп). </w:t>
      </w:r>
    </w:p>
    <w:p w:rsidR="00012F54" w:rsidRPr="00012F54" w:rsidRDefault="00012F54" w:rsidP="00B065B6">
      <w:pPr>
        <w:widowControl w:val="0"/>
        <w:tabs>
          <w:tab w:val="left" w:pos="851"/>
          <w:tab w:val="left" w:pos="993"/>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Зважаючи на це, німодипін можливо розглядати як первинний нейропротектор при САК і ВМК, і це твердження доведено з позиції доказової медицини у цілій низці подвійних сліпих плацебо-контрольованих дослідженнях, якими і обґрунтовують свою думку експерти ЕСО. </w:t>
      </w:r>
    </w:p>
    <w:p w:rsidR="00012F54" w:rsidRPr="00012F54" w:rsidRDefault="00012F54" w:rsidP="00B065B6">
      <w:pPr>
        <w:widowControl w:val="0"/>
        <w:tabs>
          <w:tab w:val="left" w:pos="851"/>
          <w:tab w:val="left" w:pos="993"/>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lastRenderedPageBreak/>
        <w:t>Разом із цим, призначення німодипінусупряжено із цілою низкою ускладнень та особливостей, що обмежує повномаштабне використання препарату. На фармацев</w:t>
      </w:r>
      <w:r w:rsidR="00784504">
        <w:rPr>
          <w:rFonts w:ascii="Times New Roman" w:hAnsi="Times New Roman"/>
          <w:sz w:val="28"/>
          <w:szCs w:val="28"/>
          <w:lang w:val="uk-UA"/>
        </w:rPr>
        <w:t>-</w:t>
      </w:r>
      <w:r w:rsidRPr="00012F54">
        <w:rPr>
          <w:rFonts w:ascii="Times New Roman" w:hAnsi="Times New Roman"/>
          <w:sz w:val="28"/>
          <w:szCs w:val="28"/>
          <w:lang w:val="uk-UA"/>
        </w:rPr>
        <w:t>тичному ринку України представлено дві форми випуску німодипіну – розчин для ін</w:t>
      </w:r>
      <w:r w:rsidR="00784504">
        <w:rPr>
          <w:rFonts w:ascii="Times New Roman" w:hAnsi="Times New Roman"/>
          <w:sz w:val="28"/>
          <w:szCs w:val="28"/>
          <w:lang w:val="uk-UA"/>
        </w:rPr>
        <w:t>-</w:t>
      </w:r>
      <w:r w:rsidRPr="00012F54">
        <w:rPr>
          <w:rFonts w:ascii="Times New Roman" w:hAnsi="Times New Roman"/>
          <w:sz w:val="28"/>
          <w:szCs w:val="28"/>
          <w:lang w:val="uk-UA"/>
        </w:rPr>
        <w:t>фузій та таблетована форма. Проведення інфузії можливе лише у відділеннях реаніма</w:t>
      </w:r>
      <w:r w:rsidR="00784504">
        <w:rPr>
          <w:rFonts w:ascii="Times New Roman" w:hAnsi="Times New Roman"/>
          <w:sz w:val="28"/>
          <w:szCs w:val="28"/>
          <w:lang w:val="uk-UA"/>
        </w:rPr>
        <w:t>-</w:t>
      </w:r>
      <w:r w:rsidRPr="00012F54">
        <w:rPr>
          <w:rFonts w:ascii="Times New Roman" w:hAnsi="Times New Roman"/>
          <w:sz w:val="28"/>
          <w:szCs w:val="28"/>
          <w:lang w:val="uk-UA"/>
        </w:rPr>
        <w:t xml:space="preserve">тологічного профілю, під постійним моніторингом основних вітальних показників (АТ, ЦВД, респіраторна система), і згідно до інструкції виробника, виконується через інфузоматну систему (затемнена) виключно у центральну вену (внутрішня яремна, підключична, стегнова). Даний факт обумовлений тим, що, незважаючи на переважну тропність до Са-каналів церебральних судин, прискорена або неправильно проведена інфузія призводить до блискавичної важкокерованої артеріальної гіпотензії (судинний колапс). Таке ускладнення супроводжується вторинною церебральною гіпоксією, що може бути фатальним. </w:t>
      </w:r>
    </w:p>
    <w:p w:rsidR="00012F54" w:rsidRPr="00012F54" w:rsidRDefault="00012F54" w:rsidP="00B065B6">
      <w:pPr>
        <w:widowControl w:val="0"/>
        <w:tabs>
          <w:tab w:val="left" w:pos="851"/>
          <w:tab w:val="left" w:pos="993"/>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Альтернативою до внутрішньовенного (в/в) введення, може стати пероральний прийом препарату, оскільки фармакокінетичні та фармакодинамічні параметри стартової в/в дози, яка становить 30 мкг/кг/хв, а таблетованої у 60 мг/4 рази/добу, є еквівалентними, а ризик розвитку гострої судинної недостатності при цьому зводиться до мінімуму. Слід зауважити, що переважна більшість пацієнтів у найгостріший період ГІ (ВМК, і, ще більшою мірою при САК) перебувають у комі, потребують штучної вентиляції легень, тому перора</w:t>
      </w:r>
      <w:r w:rsidR="00D945BC">
        <w:rPr>
          <w:rFonts w:ascii="Times New Roman" w:hAnsi="Times New Roman"/>
          <w:sz w:val="28"/>
          <w:szCs w:val="28"/>
          <w:lang w:val="uk-UA"/>
        </w:rPr>
        <w:t xml:space="preserve">льний прийом можливий лише </w:t>
      </w:r>
      <w:r w:rsidRPr="00012F54">
        <w:rPr>
          <w:rFonts w:ascii="Times New Roman" w:hAnsi="Times New Roman"/>
          <w:sz w:val="28"/>
          <w:szCs w:val="28"/>
          <w:lang w:val="uk-UA"/>
        </w:rPr>
        <w:t xml:space="preserve"> через оро- (назо-)гастральний зонд після інтубації трахеї, трахеотомії, конікотомії або встановлення ларенготрахеальної маски. Лише у поодиноких випадках наявного самостійного ковтального рефлексу можливий пероральний прийом німодипіну без протекції дихальних шляхів. Інше серйозне ускладнення ГІ, яке є відносним протипоказом для початку терапії німодипіном – це підвищений ВЧТ, хоча сам препарат не призводить до гіперпродукції ліквору. Оскільки високий показник ВЧТ є одним із провідних патогномонічних синдромів при САК, необхідно знизити його цифри, що потребує часу і відстрочує початок терапії. Коротко резюмуючи дані доказової медицини, обрання німодипіну в якості рефренсного препарату при доклінічній оцінці ефективності нових підходів до терапії ГІ є доцільним і обґрунтованим про що більш детально буде описано нижче (див. Розділ 2).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Традиційно існує ряд медикаментозних засобів, які можуть зменшити гіпер</w:t>
      </w:r>
      <w:r w:rsidR="00784504">
        <w:rPr>
          <w:rFonts w:ascii="Times New Roman" w:hAnsi="Times New Roman"/>
          <w:sz w:val="28"/>
          <w:szCs w:val="28"/>
          <w:lang w:val="uk-UA"/>
        </w:rPr>
        <w:t>-</w:t>
      </w:r>
      <w:r w:rsidRPr="00012F54">
        <w:rPr>
          <w:rFonts w:ascii="Times New Roman" w:hAnsi="Times New Roman"/>
          <w:sz w:val="28"/>
          <w:szCs w:val="28"/>
          <w:lang w:val="uk-UA"/>
        </w:rPr>
        <w:lastRenderedPageBreak/>
        <w:t>продукцію ліквору судинами IV шлуночка. Їх всі можна віднести до вторинних нейропротекторів. Перш за все – це діуретики (фуросемід, манітол, діакарб). Однак, перераховані препарати призводять до внутрішньонейрональної дегідратації, тією чи іншою мірою зменшують показники системної (АТ та ЦВД), периферичної та внут</w:t>
      </w:r>
      <w:r w:rsidR="00784504">
        <w:rPr>
          <w:rFonts w:ascii="Times New Roman" w:hAnsi="Times New Roman"/>
          <w:sz w:val="28"/>
          <w:szCs w:val="28"/>
          <w:lang w:val="uk-UA"/>
        </w:rPr>
        <w:t>-</w:t>
      </w:r>
      <w:r w:rsidRPr="00012F54">
        <w:rPr>
          <w:rFonts w:ascii="Times New Roman" w:hAnsi="Times New Roman"/>
          <w:sz w:val="28"/>
          <w:szCs w:val="28"/>
          <w:lang w:val="uk-UA"/>
        </w:rPr>
        <w:t>рішньомозкової (ступень насичення крові киснем (SaO2); об'ємна швидкість моз</w:t>
      </w:r>
      <w:r w:rsidR="00784504">
        <w:rPr>
          <w:rFonts w:ascii="Times New Roman" w:hAnsi="Times New Roman"/>
          <w:sz w:val="28"/>
          <w:szCs w:val="28"/>
          <w:lang w:val="uk-UA"/>
        </w:rPr>
        <w:t>-</w:t>
      </w:r>
      <w:r w:rsidRPr="00012F54">
        <w:rPr>
          <w:rFonts w:ascii="Times New Roman" w:hAnsi="Times New Roman"/>
          <w:sz w:val="28"/>
          <w:szCs w:val="28"/>
          <w:lang w:val="uk-UA"/>
        </w:rPr>
        <w:t>кового кровотоку (ОШМК)) гемодинаміки, вихідні рівні яких можуть бути зни</w:t>
      </w:r>
      <w:r w:rsidR="00784504">
        <w:rPr>
          <w:rFonts w:ascii="Times New Roman" w:hAnsi="Times New Roman"/>
          <w:sz w:val="28"/>
          <w:szCs w:val="28"/>
          <w:lang w:val="uk-UA"/>
        </w:rPr>
        <w:t>-</w:t>
      </w:r>
      <w:r w:rsidRPr="00012F54">
        <w:rPr>
          <w:rFonts w:ascii="Times New Roman" w:hAnsi="Times New Roman"/>
          <w:sz w:val="28"/>
          <w:szCs w:val="28"/>
          <w:lang w:val="uk-UA"/>
        </w:rPr>
        <w:t>женими в залежності від важкості інсульту. Отже призначенн</w:t>
      </w:r>
      <w:r w:rsidR="002D727F">
        <w:rPr>
          <w:rFonts w:ascii="Times New Roman" w:hAnsi="Times New Roman"/>
          <w:sz w:val="28"/>
          <w:szCs w:val="28"/>
          <w:lang w:val="uk-UA"/>
        </w:rPr>
        <w:t>я і ефективність діуре</w:t>
      </w:r>
      <w:r w:rsidR="00784504">
        <w:rPr>
          <w:rFonts w:ascii="Times New Roman" w:hAnsi="Times New Roman"/>
          <w:sz w:val="28"/>
          <w:szCs w:val="28"/>
          <w:lang w:val="uk-UA"/>
        </w:rPr>
        <w:t>-</w:t>
      </w:r>
      <w:r w:rsidR="002D727F">
        <w:rPr>
          <w:rFonts w:ascii="Times New Roman" w:hAnsi="Times New Roman"/>
          <w:sz w:val="28"/>
          <w:szCs w:val="28"/>
          <w:lang w:val="uk-UA"/>
        </w:rPr>
        <w:t>тиків, нез</w:t>
      </w:r>
      <w:r w:rsidRPr="00012F54">
        <w:rPr>
          <w:rFonts w:ascii="Times New Roman" w:hAnsi="Times New Roman"/>
          <w:sz w:val="28"/>
          <w:szCs w:val="28"/>
          <w:lang w:val="uk-UA"/>
        </w:rPr>
        <w:t xml:space="preserve">важаючи на їх прямий патогенетичний вплив на ВЧТ, є </w:t>
      </w:r>
      <w:r w:rsidR="002D727F">
        <w:rPr>
          <w:rFonts w:ascii="Times New Roman" w:hAnsi="Times New Roman"/>
          <w:sz w:val="28"/>
          <w:szCs w:val="28"/>
          <w:lang w:val="uk-UA"/>
        </w:rPr>
        <w:t xml:space="preserve"> дискутабельним</w:t>
      </w:r>
      <w:r w:rsidRPr="00012F54">
        <w:rPr>
          <w:rFonts w:ascii="Times New Roman" w:hAnsi="Times New Roman"/>
          <w:sz w:val="28"/>
          <w:szCs w:val="28"/>
          <w:lang w:val="uk-UA"/>
        </w:rPr>
        <w:t xml:space="preserve"> і потребує ретельного моніторингу та індивідуального підходу до вибору оптимального препарату та його дозового режиму. Саме таких висновків дістали експерти з ESС 2008, грунтуючись на даних системного аналізу подібних призначень.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Позитивним чином на мозковий кровоплин діють розчин магнію сульфату, гангліоблокатори (пентамін, бензоге</w:t>
      </w:r>
      <w:r w:rsidR="000D5906">
        <w:rPr>
          <w:rFonts w:ascii="Times New Roman" w:hAnsi="Times New Roman"/>
          <w:sz w:val="28"/>
          <w:szCs w:val="28"/>
          <w:lang w:val="uk-UA"/>
        </w:rPr>
        <w:t>ксоній), нейролептики,</w:t>
      </w:r>
      <w:r w:rsidRPr="00012F54">
        <w:rPr>
          <w:rFonts w:ascii="Times New Roman" w:hAnsi="Times New Roman"/>
          <w:sz w:val="28"/>
          <w:szCs w:val="28"/>
          <w:lang w:val="uk-UA"/>
        </w:rPr>
        <w:t xml:space="preserve"> та препарати для наркозу у випадку необхідності створення медикаментозного сну (адаптація до</w:t>
      </w:r>
      <w:r w:rsidR="000D5906">
        <w:rPr>
          <w:rFonts w:ascii="Times New Roman" w:hAnsi="Times New Roman"/>
          <w:sz w:val="28"/>
          <w:szCs w:val="28"/>
          <w:lang w:val="uk-UA"/>
        </w:rPr>
        <w:t xml:space="preserve"> апаратного дихання) та керованої гіпотензії</w:t>
      </w:r>
      <w:r w:rsidRPr="00012F54">
        <w:rPr>
          <w:rFonts w:ascii="Times New Roman" w:hAnsi="Times New Roman"/>
          <w:sz w:val="28"/>
          <w:szCs w:val="28"/>
          <w:lang w:val="uk-UA"/>
        </w:rPr>
        <w:t>.</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У ряді випадків при нестабільній гемодинаміці, в якості засобу, що певним чином, може зменшити гіпер</w:t>
      </w:r>
      <w:r w:rsidR="00CE77C3">
        <w:rPr>
          <w:rFonts w:ascii="Times New Roman" w:hAnsi="Times New Roman"/>
          <w:sz w:val="28"/>
          <w:szCs w:val="28"/>
          <w:lang w:val="uk-UA"/>
        </w:rPr>
        <w:t>пр</w:t>
      </w:r>
      <w:r w:rsidRPr="00012F54">
        <w:rPr>
          <w:rFonts w:ascii="Times New Roman" w:hAnsi="Times New Roman"/>
          <w:sz w:val="28"/>
          <w:szCs w:val="28"/>
          <w:lang w:val="uk-UA"/>
        </w:rPr>
        <w:t>одукцію ліквору, є представник глюкокортикоїдівдексаметазон. Його дія на ВЧТ супряжена зі стабілізацією АТ та зменшенням проникності судинної стінки. Дієвість, доцільність та необхідність використання всіх вище перерахованих засобів як нейропротекторів, подібна до заключень експертів EСО стосовно діуретиків, і грунтується виключно на засадах доказової медицини.</w:t>
      </w:r>
    </w:p>
    <w:p w:rsidR="00012F54" w:rsidRPr="00012F54" w:rsidRDefault="00012F54" w:rsidP="00B065B6">
      <w:pPr>
        <w:widowControl w:val="0"/>
        <w:tabs>
          <w:tab w:val="left" w:pos="851"/>
          <w:tab w:val="left" w:pos="993"/>
        </w:tabs>
        <w:spacing w:after="0" w:line="360" w:lineRule="auto"/>
        <w:ind w:firstLine="284"/>
        <w:jc w:val="both"/>
        <w:rPr>
          <w:rFonts w:ascii="Times New Roman" w:hAnsi="Times New Roman"/>
          <w:color w:val="000000"/>
          <w:sz w:val="28"/>
          <w:szCs w:val="28"/>
          <w:shd w:val="clear" w:color="auto" w:fill="FFFFFF"/>
          <w:lang w:val="uk-UA"/>
        </w:rPr>
      </w:pPr>
      <w:r w:rsidRPr="00012F54">
        <w:rPr>
          <w:rStyle w:val="apple-converted-space"/>
          <w:rFonts w:ascii="Times New Roman" w:hAnsi="Times New Roman"/>
          <w:color w:val="000000"/>
          <w:sz w:val="28"/>
          <w:szCs w:val="28"/>
          <w:shd w:val="clear" w:color="auto" w:fill="FFFFFF"/>
          <w:lang w:val="uk-UA"/>
        </w:rPr>
        <w:t>На основі Міжнародних та Європейських протоколів, створюються і вітчизняні [</w:t>
      </w:r>
      <w:r w:rsidRPr="00012F54">
        <w:rPr>
          <w:rFonts w:ascii="Times New Roman" w:hAnsi="Times New Roman"/>
          <w:sz w:val="28"/>
          <w:szCs w:val="28"/>
        </w:rPr>
        <w:t>72,73</w:t>
      </w:r>
      <w:r w:rsidRPr="00012F54">
        <w:rPr>
          <w:rStyle w:val="apple-converted-space"/>
          <w:rFonts w:ascii="Times New Roman" w:hAnsi="Times New Roman"/>
          <w:sz w:val="28"/>
          <w:szCs w:val="28"/>
          <w:shd w:val="clear" w:color="auto" w:fill="FFFFFF"/>
          <w:lang w:val="uk-UA"/>
        </w:rPr>
        <w:t xml:space="preserve">]. </w:t>
      </w:r>
      <w:r w:rsidRPr="00012F54">
        <w:rPr>
          <w:rStyle w:val="apple-converted-space"/>
          <w:rFonts w:ascii="Times New Roman" w:hAnsi="Times New Roman"/>
          <w:color w:val="000000"/>
          <w:sz w:val="28"/>
          <w:szCs w:val="28"/>
          <w:shd w:val="clear" w:color="auto" w:fill="FFFFFF"/>
          <w:lang w:val="uk-UA"/>
        </w:rPr>
        <w:t>Всебічний неупереджений огляд літературних джерел показав відсутність належної Міжнародної доказової бази, що ґрунтується на результатах</w:t>
      </w:r>
      <w:r w:rsidRPr="00012F54">
        <w:rPr>
          <w:rFonts w:ascii="Times New Roman" w:hAnsi="Times New Roman"/>
          <w:color w:val="000000"/>
          <w:sz w:val="28"/>
          <w:szCs w:val="28"/>
          <w:shd w:val="clear" w:color="auto" w:fill="FFFFFF"/>
          <w:lang w:val="uk-UA"/>
        </w:rPr>
        <w:t xml:space="preserve"> контрольованих досліджень </w:t>
      </w:r>
      <w:r w:rsidRPr="00012F54">
        <w:rPr>
          <w:rStyle w:val="apple-converted-space"/>
          <w:rFonts w:ascii="Times New Roman" w:hAnsi="Times New Roman"/>
          <w:color w:val="000000"/>
          <w:sz w:val="28"/>
          <w:szCs w:val="28"/>
          <w:shd w:val="clear" w:color="auto" w:fill="FFFFFF"/>
          <w:lang w:val="uk-UA"/>
        </w:rPr>
        <w:t xml:space="preserve">для органопротекторівметаболітотропної спрямованості </w:t>
      </w:r>
      <w:r w:rsidRPr="00012F54">
        <w:rPr>
          <w:rStyle w:val="longtext"/>
          <w:rFonts w:ascii="Times New Roman" w:hAnsi="Times New Roman"/>
          <w:sz w:val="28"/>
          <w:szCs w:val="28"/>
          <w:lang w:val="uk-UA"/>
        </w:rPr>
        <w:t>[</w:t>
      </w:r>
      <w:r w:rsidRPr="00012F54">
        <w:rPr>
          <w:rStyle w:val="referencesarticle-title"/>
          <w:rFonts w:ascii="Times New Roman" w:hAnsi="Times New Roman"/>
          <w:sz w:val="28"/>
          <w:szCs w:val="28"/>
          <w:shd w:val="clear" w:color="auto" w:fill="FFFFFF"/>
        </w:rPr>
        <w:t>74,75</w:t>
      </w:r>
      <w:r w:rsidRPr="00012F54">
        <w:rPr>
          <w:rStyle w:val="longtext"/>
          <w:rFonts w:ascii="Times New Roman" w:hAnsi="Times New Roman"/>
          <w:sz w:val="28"/>
          <w:szCs w:val="28"/>
          <w:lang w:val="uk-UA"/>
        </w:rPr>
        <w:t>]</w:t>
      </w:r>
      <w:r w:rsidRPr="00012F54">
        <w:rPr>
          <w:rStyle w:val="apple-converted-space"/>
          <w:rFonts w:ascii="Times New Roman" w:hAnsi="Times New Roman"/>
          <w:color w:val="000000"/>
          <w:sz w:val="28"/>
          <w:szCs w:val="28"/>
          <w:shd w:val="clear" w:color="auto" w:fill="FFFFFF"/>
          <w:lang w:val="uk-UA"/>
        </w:rPr>
        <w:t xml:space="preserve">. З іншого боку, ефективність препаратів цієї категорії висвітлена у багатьох вітчизняних публікаціях та статтях країн пострадянського простору, на теренах яких, власне, вони і найбільше використовуються. Численні спроби довести ефективність деяких із них за канонами доказової медицини потерпіли фіаско </w:t>
      </w:r>
      <w:r w:rsidRPr="00012F54">
        <w:rPr>
          <w:rStyle w:val="longtext"/>
          <w:rFonts w:ascii="Times New Roman" w:hAnsi="Times New Roman"/>
          <w:sz w:val="28"/>
          <w:szCs w:val="28"/>
          <w:lang w:val="uk-UA"/>
        </w:rPr>
        <w:t xml:space="preserve">[50, </w:t>
      </w:r>
      <w:r w:rsidRPr="00012F54">
        <w:rPr>
          <w:rStyle w:val="longtext"/>
          <w:rFonts w:ascii="Times New Roman" w:hAnsi="Times New Roman"/>
          <w:sz w:val="28"/>
          <w:szCs w:val="28"/>
          <w:lang w:val="uk-UA"/>
        </w:rPr>
        <w:lastRenderedPageBreak/>
        <w:t>76, 77]</w:t>
      </w:r>
      <w:r w:rsidRPr="00012F54">
        <w:rPr>
          <w:rFonts w:ascii="Times New Roman" w:hAnsi="Times New Roman"/>
          <w:sz w:val="28"/>
          <w:szCs w:val="28"/>
          <w:lang w:val="uk-UA"/>
        </w:rPr>
        <w:t>.</w:t>
      </w:r>
      <w:r w:rsidRPr="00012F54">
        <w:rPr>
          <w:rStyle w:val="apple-converted-space"/>
          <w:rFonts w:ascii="Times New Roman" w:hAnsi="Times New Roman"/>
          <w:color w:val="000000"/>
          <w:sz w:val="28"/>
          <w:szCs w:val="28"/>
          <w:shd w:val="clear" w:color="auto" w:fill="FFFFFF"/>
          <w:lang w:val="uk-UA"/>
        </w:rPr>
        <w:t xml:space="preserve"> Так, свого часу клініцисти покладали надії на нейропротективні ефекти найбільш відомих із них: цитиколіну та церебролізину. Однак, сподівання виявились марними і за результатами останніх Міжнародних рандомізованих клінічних випробовувань дієвості при гострій церебральній ІР була доведена їх неспроможність, хоча результати багатьох досліджень на малих нерандомізованих вибірках показали їх високу ефективність </w:t>
      </w:r>
      <w:r w:rsidRPr="00012F54">
        <w:rPr>
          <w:rStyle w:val="longtext"/>
          <w:rFonts w:ascii="Times New Roman" w:hAnsi="Times New Roman"/>
          <w:sz w:val="28"/>
          <w:szCs w:val="28"/>
          <w:lang w:val="uk-UA"/>
        </w:rPr>
        <w:t>[</w:t>
      </w:r>
      <w:r w:rsidRPr="00012F54">
        <w:rPr>
          <w:rFonts w:ascii="Times New Roman" w:hAnsi="Times New Roman"/>
          <w:sz w:val="28"/>
          <w:szCs w:val="28"/>
          <w:lang w:val="uk-UA"/>
        </w:rPr>
        <w:t>78–80</w:t>
      </w:r>
      <w:r w:rsidRPr="00012F54">
        <w:rPr>
          <w:rStyle w:val="longtext"/>
          <w:rFonts w:ascii="Times New Roman" w:hAnsi="Times New Roman"/>
          <w:sz w:val="28"/>
          <w:szCs w:val="28"/>
          <w:lang w:val="uk-UA"/>
        </w:rPr>
        <w:t>]</w:t>
      </w:r>
      <w:r w:rsidRPr="00012F54">
        <w:rPr>
          <w:rFonts w:ascii="Times New Roman" w:hAnsi="Times New Roman"/>
          <w:sz w:val="28"/>
          <w:szCs w:val="28"/>
          <w:lang w:val="uk-UA"/>
        </w:rPr>
        <w:t>.</w:t>
      </w:r>
      <w:r w:rsidRPr="00012F54">
        <w:rPr>
          <w:rStyle w:val="apple-converted-space"/>
          <w:rFonts w:ascii="Times New Roman" w:hAnsi="Times New Roman"/>
          <w:color w:val="000000"/>
          <w:sz w:val="28"/>
          <w:szCs w:val="28"/>
          <w:shd w:val="clear" w:color="auto" w:fill="FFFFFF"/>
          <w:lang w:val="uk-UA"/>
        </w:rPr>
        <w:t xml:space="preserve"> Аналогічним чином склалась ситуація із антигіпоксантами та метаболокоректорами (корвітин, мілдронат, мексидол, тощо). У країнах Європейськ</w:t>
      </w:r>
      <w:r w:rsidR="00D867FD">
        <w:rPr>
          <w:rStyle w:val="apple-converted-space"/>
          <w:rFonts w:ascii="Times New Roman" w:hAnsi="Times New Roman"/>
          <w:color w:val="000000"/>
          <w:sz w:val="28"/>
          <w:szCs w:val="28"/>
          <w:shd w:val="clear" w:color="auto" w:fill="FFFFFF"/>
          <w:lang w:val="uk-UA"/>
        </w:rPr>
        <w:t>ого союзу, США</w:t>
      </w:r>
      <w:r w:rsidRPr="00012F54">
        <w:rPr>
          <w:rStyle w:val="apple-converted-space"/>
          <w:rFonts w:ascii="Times New Roman" w:hAnsi="Times New Roman"/>
          <w:color w:val="000000"/>
          <w:sz w:val="28"/>
          <w:szCs w:val="28"/>
          <w:shd w:val="clear" w:color="auto" w:fill="FFFFFF"/>
          <w:lang w:val="uk-UA"/>
        </w:rPr>
        <w:t xml:space="preserve"> дуже суворі критерії відбору претендентів до включення їх у національні рекомендації, тому органопротектори до подібних настанов не входять, хоча і не відкидається перспективність</w:t>
      </w:r>
      <w:r w:rsidR="00D867FD">
        <w:rPr>
          <w:rStyle w:val="apple-converted-space"/>
          <w:rFonts w:ascii="Times New Roman" w:hAnsi="Times New Roman"/>
          <w:color w:val="000000"/>
          <w:sz w:val="28"/>
          <w:szCs w:val="28"/>
          <w:shd w:val="clear" w:color="auto" w:fill="FFFFFF"/>
          <w:lang w:val="uk-UA"/>
        </w:rPr>
        <w:t xml:space="preserve"> розробок препаратів із такими властивостями</w:t>
      </w:r>
      <w:r w:rsidRPr="00012F54">
        <w:rPr>
          <w:rStyle w:val="longtext"/>
          <w:rFonts w:ascii="Times New Roman" w:hAnsi="Times New Roman"/>
          <w:sz w:val="28"/>
          <w:szCs w:val="28"/>
          <w:lang w:val="uk-UA"/>
        </w:rPr>
        <w:t>[</w:t>
      </w:r>
      <w:r w:rsidRPr="00012F54">
        <w:rPr>
          <w:rFonts w:ascii="Times New Roman" w:hAnsi="Times New Roman"/>
          <w:color w:val="000000"/>
          <w:sz w:val="28"/>
          <w:szCs w:val="28"/>
          <w:shd w:val="clear" w:color="auto" w:fill="FFFFFF"/>
        </w:rPr>
        <w:t>81</w:t>
      </w:r>
      <w:r w:rsidRPr="00012F54">
        <w:rPr>
          <w:rFonts w:ascii="Times New Roman" w:hAnsi="Times New Roman"/>
          <w:sz w:val="28"/>
          <w:szCs w:val="28"/>
          <w:lang w:val="uk-UA"/>
        </w:rPr>
        <w:t>–</w:t>
      </w:r>
      <w:r w:rsidRPr="00012F54">
        <w:rPr>
          <w:rFonts w:ascii="Times New Roman" w:hAnsi="Times New Roman"/>
          <w:color w:val="000000"/>
          <w:sz w:val="28"/>
          <w:szCs w:val="28"/>
          <w:shd w:val="clear" w:color="auto" w:fill="FFFFFF"/>
        </w:rPr>
        <w:t>83</w:t>
      </w:r>
      <w:r w:rsidRPr="00012F54">
        <w:rPr>
          <w:rStyle w:val="longtext"/>
          <w:rFonts w:ascii="Times New Roman" w:hAnsi="Times New Roman"/>
          <w:sz w:val="28"/>
          <w:szCs w:val="28"/>
          <w:lang w:val="uk-UA"/>
        </w:rPr>
        <w:t>]</w:t>
      </w:r>
      <w:r w:rsidRPr="00012F54">
        <w:rPr>
          <w:rFonts w:ascii="Times New Roman" w:hAnsi="Times New Roman"/>
          <w:sz w:val="28"/>
          <w:szCs w:val="28"/>
          <w:lang w:val="uk-UA"/>
        </w:rPr>
        <w:t>.</w:t>
      </w:r>
      <w:r w:rsidRPr="00012F54">
        <w:rPr>
          <w:rStyle w:val="apple-converted-space"/>
          <w:rFonts w:ascii="Times New Roman" w:hAnsi="Times New Roman"/>
          <w:color w:val="000000"/>
          <w:sz w:val="28"/>
          <w:szCs w:val="28"/>
          <w:shd w:val="clear" w:color="auto" w:fill="FFFFFF"/>
          <w:lang w:val="uk-UA"/>
        </w:rPr>
        <w:t xml:space="preserve"> На думку фармакологів, найбільш короткий та цілеспрямований шлях розробки нейропротекторних препаратів може стати їх впровадження через неврологічну практику. Тобто, церебропротектори</w:t>
      </w:r>
      <w:r w:rsidRPr="00012F54">
        <w:rPr>
          <w:rFonts w:ascii="Times New Roman" w:hAnsi="Times New Roman"/>
          <w:color w:val="000000"/>
          <w:sz w:val="28"/>
          <w:szCs w:val="28"/>
          <w:shd w:val="clear" w:color="auto" w:fill="FFFFFF"/>
          <w:lang w:val="uk-UA"/>
        </w:rPr>
        <w:t>– це ідеальні претенденти на ро</w:t>
      </w:r>
      <w:r w:rsidR="00D867FD">
        <w:rPr>
          <w:rFonts w:ascii="Times New Roman" w:hAnsi="Times New Roman"/>
          <w:color w:val="000000"/>
          <w:sz w:val="28"/>
          <w:szCs w:val="28"/>
          <w:shd w:val="clear" w:color="auto" w:fill="FFFFFF"/>
          <w:lang w:val="uk-UA"/>
        </w:rPr>
        <w:t xml:space="preserve">ль препаратів із захисною дією </w:t>
      </w:r>
      <w:r w:rsidRPr="00012F54">
        <w:rPr>
          <w:rFonts w:ascii="Times New Roman" w:hAnsi="Times New Roman"/>
          <w:color w:val="000000"/>
          <w:sz w:val="28"/>
          <w:szCs w:val="28"/>
          <w:shd w:val="clear" w:color="auto" w:fill="FFFFFF"/>
          <w:lang w:val="uk-UA"/>
        </w:rPr>
        <w:t xml:space="preserve"> на мозок, проте, жоден із них не пройшов випробовування через багатоцентровірандомізовані клінічні дослідження. Антигіпоксанти, теж є претендентами за спільністю патогенезу ураження мішеней судинної патології, а ситуація з ними аналогічна, описаній вище. Нещодавно, одним із таких претендентів, на короткий час став мілдронат – метаболокоректор із антигіпоксичними якостями, який вже декілька десятиліть використовується в неврології, кардіології та реаніматології. Міжнародний олімпійський комітет на останніх зимових іграх увів мілдронат до розряду допінгових, що стало ледве не стало маркером його ефективності як лікарського препарату, який покращує метаболізм </w:t>
      </w:r>
      <w:r w:rsidRPr="00012F54">
        <w:rPr>
          <w:rStyle w:val="longtext"/>
          <w:rFonts w:ascii="Times New Roman" w:hAnsi="Times New Roman"/>
          <w:sz w:val="28"/>
          <w:szCs w:val="28"/>
          <w:lang w:val="uk-UA"/>
        </w:rPr>
        <w:t>[</w:t>
      </w:r>
      <w:r w:rsidRPr="00012F54">
        <w:rPr>
          <w:rFonts w:ascii="Times New Roman" w:hAnsi="Times New Roman"/>
          <w:sz w:val="28"/>
          <w:szCs w:val="28"/>
          <w:lang w:val="uk-UA"/>
        </w:rPr>
        <w:t>84].</w:t>
      </w:r>
      <w:r w:rsidRPr="00012F54">
        <w:rPr>
          <w:rFonts w:ascii="Times New Roman" w:hAnsi="Times New Roman"/>
          <w:color w:val="000000"/>
          <w:sz w:val="28"/>
          <w:szCs w:val="28"/>
          <w:shd w:val="clear" w:color="auto" w:fill="FFFFFF"/>
          <w:lang w:val="uk-UA"/>
        </w:rPr>
        <w:t xml:space="preserve"> Зважаючи на це, Президент комітету був вимушений виголосити заяву, що їх рішення не замінює принципи доказової медицини, до клінічної практики не відноситься, і регулює лише використання препарату у професійному спорті [85].</w:t>
      </w:r>
    </w:p>
    <w:p w:rsidR="00012F54" w:rsidRPr="00012F54" w:rsidRDefault="00012F54" w:rsidP="00B065B6">
      <w:pPr>
        <w:shd w:val="clear" w:color="auto" w:fill="FFFFFF"/>
        <w:tabs>
          <w:tab w:val="left" w:pos="-1080"/>
          <w:tab w:val="left" w:pos="0"/>
        </w:tabs>
        <w:spacing w:after="0" w:line="360" w:lineRule="auto"/>
        <w:ind w:firstLine="284"/>
        <w:jc w:val="both"/>
        <w:rPr>
          <w:rFonts w:ascii="Times New Roman" w:hAnsi="Times New Roman"/>
          <w:color w:val="000000"/>
          <w:sz w:val="28"/>
          <w:szCs w:val="28"/>
          <w:shd w:val="clear" w:color="auto" w:fill="FFFFFF"/>
          <w:lang w:val="uk-UA"/>
        </w:rPr>
      </w:pPr>
      <w:r w:rsidRPr="00012F54">
        <w:rPr>
          <w:rFonts w:ascii="Times New Roman" w:hAnsi="Times New Roman"/>
          <w:color w:val="000000"/>
          <w:sz w:val="28"/>
          <w:szCs w:val="28"/>
          <w:shd w:val="clear" w:color="auto" w:fill="FFFFFF"/>
          <w:lang w:val="uk-UA"/>
        </w:rPr>
        <w:t xml:space="preserve">Інша причина, яка стає на заваді розробки та широкого офіційного впровадження нейропротекторів при ГІ, криється у відсутності єдиних уніфікованих національних протоколів та настанов по наданню невідкладної допомоги хворим </w:t>
      </w:r>
      <w:r w:rsidR="00D867FD">
        <w:rPr>
          <w:rFonts w:ascii="Times New Roman" w:hAnsi="Times New Roman"/>
          <w:color w:val="000000"/>
          <w:sz w:val="28"/>
          <w:szCs w:val="28"/>
          <w:shd w:val="clear" w:color="auto" w:fill="FFFFFF"/>
          <w:lang w:val="uk-UA"/>
        </w:rPr>
        <w:t xml:space="preserve">із ГПМК,  травмою, аневризмою, тощо. </w:t>
      </w:r>
      <w:r w:rsidRPr="00012F54">
        <w:rPr>
          <w:rFonts w:ascii="Times New Roman" w:hAnsi="Times New Roman"/>
          <w:color w:val="000000"/>
          <w:sz w:val="28"/>
          <w:szCs w:val="28"/>
          <w:shd w:val="clear" w:color="auto" w:fill="FFFFFF"/>
          <w:lang w:val="uk-UA"/>
        </w:rPr>
        <w:t xml:space="preserve">Саме тому, у кожному відділенні існують свої </w:t>
      </w:r>
      <w:r w:rsidRPr="00012F54">
        <w:rPr>
          <w:rFonts w:ascii="Times New Roman" w:hAnsi="Times New Roman"/>
          <w:color w:val="000000"/>
          <w:sz w:val="28"/>
          <w:szCs w:val="28"/>
          <w:shd w:val="clear" w:color="auto" w:fill="FFFFFF"/>
          <w:lang w:val="uk-UA"/>
        </w:rPr>
        <w:lastRenderedPageBreak/>
        <w:t xml:space="preserve">«традиції» щодо ведення таких пацієнтів, а коло препаратів котрі використовуються у якості протекторів, є дуже широким. Нажаль, для більшості із них, в інструкції відсутні покази до застосування у галузі неврології, і використовуються лікарями вони емпірично, </w:t>
      </w:r>
      <w:r w:rsidRPr="00012F54">
        <w:rPr>
          <w:rFonts w:ascii="Times New Roman" w:hAnsi="Times New Roman"/>
          <w:sz w:val="28"/>
          <w:szCs w:val="28"/>
          <w:lang w:val="uk-UA"/>
        </w:rPr>
        <w:t>ґ</w:t>
      </w:r>
      <w:r w:rsidRPr="00012F54">
        <w:rPr>
          <w:rFonts w:ascii="Times New Roman" w:hAnsi="Times New Roman"/>
          <w:color w:val="000000"/>
          <w:sz w:val="28"/>
          <w:szCs w:val="28"/>
          <w:shd w:val="clear" w:color="auto" w:fill="FFFFFF"/>
          <w:lang w:val="uk-UA"/>
        </w:rPr>
        <w:t xml:space="preserve">рунтуючись на подібності патогенезу уражень нейронів мозку, а також тотожності будови судин мікроциркулятрного русла </w:t>
      </w:r>
      <w:r w:rsidRPr="00012F54">
        <w:rPr>
          <w:rStyle w:val="longtext"/>
          <w:rFonts w:ascii="Times New Roman" w:hAnsi="Times New Roman"/>
          <w:sz w:val="28"/>
          <w:szCs w:val="28"/>
          <w:lang w:val="uk-UA"/>
        </w:rPr>
        <w:t>[</w:t>
      </w:r>
      <w:r w:rsidRPr="00012F54">
        <w:rPr>
          <w:rFonts w:ascii="Times New Roman" w:hAnsi="Times New Roman"/>
          <w:sz w:val="28"/>
          <w:szCs w:val="28"/>
          <w:lang w:val="uk-UA"/>
        </w:rPr>
        <w:t>86</w:t>
      </w:r>
      <w:r w:rsidRPr="00012F54">
        <w:rPr>
          <w:rStyle w:val="longtext"/>
          <w:rFonts w:ascii="Times New Roman" w:hAnsi="Times New Roman"/>
          <w:sz w:val="28"/>
          <w:szCs w:val="28"/>
          <w:lang w:val="uk-UA"/>
        </w:rPr>
        <w:t>]</w:t>
      </w:r>
      <w:r w:rsidRPr="00012F54">
        <w:rPr>
          <w:rFonts w:ascii="Times New Roman" w:hAnsi="Times New Roman"/>
          <w:sz w:val="28"/>
          <w:szCs w:val="28"/>
          <w:lang w:val="uk-UA"/>
        </w:rPr>
        <w:t xml:space="preserve">. </w:t>
      </w:r>
      <w:r w:rsidRPr="00012F54">
        <w:rPr>
          <w:rFonts w:ascii="Times New Roman" w:hAnsi="Times New Roman"/>
          <w:color w:val="000000"/>
          <w:sz w:val="28"/>
          <w:szCs w:val="28"/>
          <w:shd w:val="clear" w:color="auto" w:fill="FFFFFF"/>
          <w:lang w:val="uk-UA"/>
        </w:rPr>
        <w:t xml:space="preserve">Можливість розширення інструкції органопротекторів для їх офіційного застосування за новим призначенням в якості церебропротекторів лімітоване проведенням спочатку відповідних доклінічних, а згодом і клінічних випробовувань. </w:t>
      </w:r>
    </w:p>
    <w:p w:rsidR="00012F54" w:rsidRPr="00012F54" w:rsidRDefault="00012F54" w:rsidP="00B065B6">
      <w:pPr>
        <w:shd w:val="clear" w:color="auto" w:fill="FFFFFF"/>
        <w:tabs>
          <w:tab w:val="left" w:pos="-1080"/>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Проблем</w:t>
      </w:r>
      <w:r w:rsidR="00D867FD">
        <w:rPr>
          <w:rFonts w:ascii="Times New Roman" w:hAnsi="Times New Roman"/>
          <w:sz w:val="28"/>
          <w:szCs w:val="28"/>
          <w:lang w:val="uk-UA"/>
        </w:rPr>
        <w:t xml:space="preserve">у впровадження у практичну </w:t>
      </w:r>
      <w:r w:rsidRPr="00012F54">
        <w:rPr>
          <w:rFonts w:ascii="Times New Roman" w:hAnsi="Times New Roman"/>
          <w:sz w:val="28"/>
          <w:szCs w:val="28"/>
          <w:lang w:val="uk-UA"/>
        </w:rPr>
        <w:t>неврологію та реаніматологію нейропро</w:t>
      </w:r>
      <w:r w:rsidR="00784504">
        <w:rPr>
          <w:rFonts w:ascii="Times New Roman" w:hAnsi="Times New Roman"/>
          <w:sz w:val="28"/>
          <w:szCs w:val="28"/>
          <w:lang w:val="uk-UA"/>
        </w:rPr>
        <w:t>-</w:t>
      </w:r>
      <w:r w:rsidRPr="00012F54">
        <w:rPr>
          <w:rFonts w:ascii="Times New Roman" w:hAnsi="Times New Roman"/>
          <w:sz w:val="28"/>
          <w:szCs w:val="28"/>
          <w:lang w:val="uk-UA"/>
        </w:rPr>
        <w:t>текторних засобів, можна умовно поділити на два принципово різні підходи. Перший, полягає у виявленні нової біологічноактивної речовини із цитопро</w:t>
      </w:r>
      <w:r w:rsidR="00784504">
        <w:rPr>
          <w:rFonts w:ascii="Times New Roman" w:hAnsi="Times New Roman"/>
          <w:sz w:val="28"/>
          <w:szCs w:val="28"/>
          <w:lang w:val="uk-UA"/>
        </w:rPr>
        <w:t>-</w:t>
      </w:r>
      <w:r w:rsidRPr="00012F54">
        <w:rPr>
          <w:rFonts w:ascii="Times New Roman" w:hAnsi="Times New Roman"/>
          <w:sz w:val="28"/>
          <w:szCs w:val="28"/>
          <w:lang w:val="uk-UA"/>
        </w:rPr>
        <w:t>текторною активністю в умовах модельної мозкової ІР різного ґенезу (у т.ч. гемо</w:t>
      </w:r>
      <w:r w:rsidR="00784504">
        <w:rPr>
          <w:rFonts w:ascii="Times New Roman" w:hAnsi="Times New Roman"/>
          <w:sz w:val="28"/>
          <w:szCs w:val="28"/>
          <w:lang w:val="uk-UA"/>
        </w:rPr>
        <w:t>-</w:t>
      </w:r>
      <w:r w:rsidRPr="00012F54">
        <w:rPr>
          <w:rFonts w:ascii="Times New Roman" w:hAnsi="Times New Roman"/>
          <w:sz w:val="28"/>
          <w:szCs w:val="28"/>
          <w:lang w:val="uk-UA"/>
        </w:rPr>
        <w:t xml:space="preserve">рагічного), доклінічне вивчення її механізмів захисної дії та встановлення безпечності. </w:t>
      </w:r>
    </w:p>
    <w:p w:rsidR="00012F54" w:rsidRPr="003F5A9A" w:rsidRDefault="00012F54" w:rsidP="00B065B6">
      <w:pPr>
        <w:shd w:val="clear" w:color="auto" w:fill="FFFFFF"/>
        <w:tabs>
          <w:tab w:val="left" w:pos="-1080"/>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Отримані дані можуть стати підґрунтям для створення на її основі промислового зразка фармацевтичної композиції для більш погли</w:t>
      </w:r>
      <w:r w:rsidR="00D867FD">
        <w:rPr>
          <w:rFonts w:ascii="Times New Roman" w:hAnsi="Times New Roman"/>
          <w:sz w:val="28"/>
          <w:szCs w:val="28"/>
          <w:lang w:val="uk-UA"/>
        </w:rPr>
        <w:t>бленої доклінічної оцінки. Пізніше</w:t>
      </w:r>
      <w:r w:rsidRPr="00012F54">
        <w:rPr>
          <w:rFonts w:ascii="Times New Roman" w:hAnsi="Times New Roman"/>
          <w:sz w:val="28"/>
          <w:szCs w:val="28"/>
          <w:lang w:val="uk-UA"/>
        </w:rPr>
        <w:t xml:space="preserve"> може йти мова про планування клінічних випробовувань ефективності цього оригінального лікарського засобу </w:t>
      </w:r>
      <w:r w:rsidRPr="00012F54">
        <w:rPr>
          <w:rStyle w:val="longtext"/>
          <w:rFonts w:ascii="Times New Roman" w:hAnsi="Times New Roman"/>
          <w:sz w:val="28"/>
          <w:szCs w:val="28"/>
          <w:lang w:val="uk-UA"/>
        </w:rPr>
        <w:t>[</w:t>
      </w:r>
      <w:r w:rsidRPr="00D867FD">
        <w:rPr>
          <w:rFonts w:ascii="Times New Roman" w:hAnsi="Times New Roman"/>
          <w:sz w:val="28"/>
          <w:szCs w:val="28"/>
          <w:lang w:val="uk-UA"/>
        </w:rPr>
        <w:t>60,87].</w:t>
      </w:r>
      <w:r w:rsidR="00D867FD">
        <w:rPr>
          <w:rFonts w:ascii="Times New Roman" w:hAnsi="Times New Roman"/>
          <w:sz w:val="28"/>
          <w:szCs w:val="28"/>
          <w:lang w:val="uk-UA"/>
        </w:rPr>
        <w:t xml:space="preserve"> Подібне впровадження потребує значного фінансування</w:t>
      </w:r>
      <w:r w:rsidRPr="00012F54">
        <w:rPr>
          <w:rFonts w:ascii="Times New Roman" w:hAnsi="Times New Roman"/>
          <w:sz w:val="28"/>
          <w:szCs w:val="28"/>
          <w:lang w:val="uk-UA"/>
        </w:rPr>
        <w:t xml:space="preserve"> та десятки років праці спеціалістів різних галузей. Другий підхід, полягає у виявленні у вже відомих препаратів, які застосовуються в клінічній практиці, нових видів фармакологічної активності (у даному випадку нейропротекторної), що дозволить використовувати цей лікарський засіб за новим призначенням. В цих умовах після проведення відповідних експериментальних досліджень, клінічна оцінка розпочинається одразу з другої фази. Це вигідно з </w:t>
      </w:r>
      <w:r w:rsidR="0035224B">
        <w:rPr>
          <w:rFonts w:ascii="Times New Roman" w:hAnsi="Times New Roman"/>
          <w:sz w:val="28"/>
          <w:szCs w:val="28"/>
          <w:lang w:val="uk-UA"/>
        </w:rPr>
        <w:t>економічної точки зору</w:t>
      </w:r>
      <w:r w:rsidRPr="003F5A9A">
        <w:rPr>
          <w:rFonts w:ascii="Times New Roman" w:hAnsi="Times New Roman"/>
          <w:sz w:val="28"/>
          <w:szCs w:val="28"/>
          <w:lang w:val="uk-UA"/>
        </w:rPr>
        <w:t>, особливо для препаратів вітчизняного виробництва.</w:t>
      </w:r>
    </w:p>
    <w:p w:rsidR="00012F54" w:rsidRPr="005879AB" w:rsidRDefault="00012F54" w:rsidP="00B065B6">
      <w:pPr>
        <w:pStyle w:val="2"/>
        <w:spacing w:line="360" w:lineRule="auto"/>
        <w:ind w:firstLine="284"/>
        <w:jc w:val="both"/>
        <w:rPr>
          <w:rStyle w:val="longtext"/>
          <w:rFonts w:ascii="Times New Roman" w:hAnsi="Times New Roman"/>
          <w:color w:val="auto"/>
          <w:sz w:val="28"/>
          <w:szCs w:val="28"/>
          <w:lang w:val="uk-UA"/>
        </w:rPr>
      </w:pPr>
      <w:r w:rsidRPr="005879AB">
        <w:rPr>
          <w:rStyle w:val="longtext"/>
          <w:rFonts w:ascii="Times New Roman" w:hAnsi="Times New Roman"/>
          <w:color w:val="auto"/>
          <w:sz w:val="28"/>
          <w:szCs w:val="28"/>
        </w:rPr>
        <w:t>1.3</w:t>
      </w:r>
      <w:r w:rsidRPr="005879AB">
        <w:rPr>
          <w:rStyle w:val="longtext"/>
          <w:rFonts w:ascii="Times New Roman" w:hAnsi="Times New Roman"/>
          <w:color w:val="auto"/>
          <w:sz w:val="28"/>
          <w:szCs w:val="28"/>
          <w:lang w:val="uk-UA"/>
        </w:rPr>
        <w:t>.Проблеми адекватності моделей церебральної гострої ішемії по типу внутрішньочерепного крововиливу (ВЧК) аналогічній клінічній патології у людини</w:t>
      </w:r>
    </w:p>
    <w:p w:rsidR="00012F54" w:rsidRPr="003F5A9A" w:rsidRDefault="0035224B" w:rsidP="00B065B6">
      <w:pPr>
        <w:widowControl w:val="0"/>
        <w:tabs>
          <w:tab w:val="left" w:pos="851"/>
          <w:tab w:val="left" w:pos="993"/>
        </w:tabs>
        <w:spacing w:after="0" w:line="360" w:lineRule="auto"/>
        <w:ind w:firstLine="284"/>
        <w:jc w:val="both"/>
        <w:rPr>
          <w:rFonts w:ascii="Times New Roman" w:hAnsi="Times New Roman"/>
          <w:sz w:val="28"/>
          <w:szCs w:val="28"/>
          <w:lang w:val="uk-UA"/>
        </w:rPr>
      </w:pPr>
      <w:r>
        <w:rPr>
          <w:rFonts w:ascii="Times New Roman" w:hAnsi="Times New Roman"/>
          <w:sz w:val="28"/>
          <w:szCs w:val="28"/>
          <w:lang w:val="uk-UA"/>
        </w:rPr>
        <w:t>З</w:t>
      </w:r>
      <w:r w:rsidR="00012F54" w:rsidRPr="003F5A9A">
        <w:rPr>
          <w:rFonts w:ascii="Times New Roman" w:hAnsi="Times New Roman"/>
          <w:sz w:val="28"/>
          <w:szCs w:val="28"/>
          <w:lang w:val="uk-UA"/>
        </w:rPr>
        <w:t xml:space="preserve">-поміж сотень протестованих біологічно-активних сполук, що були цілеспрямовано </w:t>
      </w:r>
      <w:r>
        <w:rPr>
          <w:rFonts w:ascii="Times New Roman" w:hAnsi="Times New Roman"/>
          <w:sz w:val="28"/>
          <w:szCs w:val="28"/>
          <w:lang w:val="uk-UA"/>
        </w:rPr>
        <w:t>створені хіміками-синтетиками,</w:t>
      </w:r>
      <w:r w:rsidR="00012F54" w:rsidRPr="003F5A9A">
        <w:rPr>
          <w:rFonts w:ascii="Times New Roman" w:hAnsi="Times New Roman"/>
          <w:sz w:val="28"/>
          <w:szCs w:val="28"/>
          <w:lang w:val="uk-UA"/>
        </w:rPr>
        <w:t xml:space="preserve"> які розробляли в якості майбутніх перспективних нейропротекторів, попри всі зусилля фармакологів та неврологів, жодна не стала фундаментом для нового лікарського засобу із цими якостями, який </w:t>
      </w:r>
      <w:r w:rsidR="00012F54" w:rsidRPr="003F5A9A">
        <w:rPr>
          <w:rFonts w:ascii="Times New Roman" w:hAnsi="Times New Roman"/>
          <w:sz w:val="28"/>
          <w:szCs w:val="28"/>
          <w:lang w:val="uk-UA"/>
        </w:rPr>
        <w:lastRenderedPageBreak/>
        <w:t xml:space="preserve">би в подальшому пройшов відповідність згідно засадам доказової медицини </w:t>
      </w:r>
      <w:r w:rsidR="00012F54" w:rsidRPr="003F5A9A">
        <w:rPr>
          <w:rStyle w:val="longtext"/>
          <w:rFonts w:ascii="Times New Roman" w:hAnsi="Times New Roman"/>
          <w:sz w:val="28"/>
          <w:szCs w:val="28"/>
          <w:lang w:val="uk-UA"/>
        </w:rPr>
        <w:t>[</w:t>
      </w:r>
      <w:r w:rsidR="00012F54" w:rsidRPr="003F5A9A">
        <w:rPr>
          <w:rFonts w:ascii="Times New Roman" w:hAnsi="Times New Roman"/>
          <w:sz w:val="28"/>
          <w:szCs w:val="28"/>
          <w:lang w:val="uk-UA"/>
        </w:rPr>
        <w:t>88</w:t>
      </w:r>
      <w:r w:rsidR="00012F54" w:rsidRPr="003F5A9A">
        <w:rPr>
          <w:rStyle w:val="longtext"/>
          <w:rFonts w:ascii="Times New Roman" w:hAnsi="Times New Roman"/>
          <w:sz w:val="28"/>
          <w:szCs w:val="28"/>
          <w:lang w:val="uk-UA"/>
        </w:rPr>
        <w:t>]</w:t>
      </w:r>
      <w:r w:rsidR="00012F54" w:rsidRPr="003F5A9A">
        <w:rPr>
          <w:rFonts w:ascii="Times New Roman" w:hAnsi="Times New Roman"/>
          <w:sz w:val="28"/>
          <w:szCs w:val="28"/>
          <w:lang w:val="uk-UA"/>
        </w:rPr>
        <w:t xml:space="preserve">. Цілком оптимістичні результати доклінічних досліджень, які присвячені вивченню специфічної активності (в даному випадку, мова йде про церебропроктивну) у нових препаратів, на клінічному етапі при проведенні багатоцентровихрандомізованихвипробовувань не знаходять свого підтвердження </w:t>
      </w:r>
      <w:r w:rsidR="00012F54" w:rsidRPr="003F5A9A">
        <w:rPr>
          <w:rStyle w:val="longtext"/>
          <w:rFonts w:ascii="Times New Roman" w:hAnsi="Times New Roman"/>
          <w:sz w:val="28"/>
          <w:szCs w:val="28"/>
          <w:lang w:val="uk-UA"/>
        </w:rPr>
        <w:t>[50, 74, 89, 90]</w:t>
      </w:r>
      <w:r w:rsidR="00012F54" w:rsidRPr="003F5A9A">
        <w:rPr>
          <w:rFonts w:ascii="Times New Roman" w:hAnsi="Times New Roman"/>
          <w:sz w:val="28"/>
          <w:szCs w:val="28"/>
          <w:lang w:val="uk-UA"/>
        </w:rPr>
        <w:t xml:space="preserve">. </w:t>
      </w:r>
    </w:p>
    <w:p w:rsidR="00012F54" w:rsidRPr="003F5A9A" w:rsidRDefault="00012F54" w:rsidP="00B065B6">
      <w:pPr>
        <w:widowControl w:val="0"/>
        <w:tabs>
          <w:tab w:val="left" w:pos="851"/>
          <w:tab w:val="left" w:pos="993"/>
        </w:tabs>
        <w:spacing w:after="0" w:line="360" w:lineRule="auto"/>
        <w:ind w:firstLine="284"/>
        <w:jc w:val="both"/>
        <w:rPr>
          <w:rFonts w:ascii="Times New Roman" w:hAnsi="Times New Roman"/>
          <w:sz w:val="28"/>
          <w:szCs w:val="28"/>
          <w:lang w:val="uk-UA"/>
        </w:rPr>
      </w:pPr>
      <w:r w:rsidRPr="003F5A9A">
        <w:rPr>
          <w:rFonts w:ascii="Times New Roman" w:hAnsi="Times New Roman"/>
          <w:sz w:val="28"/>
          <w:szCs w:val="28"/>
          <w:lang w:val="uk-UA"/>
        </w:rPr>
        <w:t>Серед багатьох причин незадовільних результатів упровадження в практичну медицину нових препаратів, слід відмітити відсутність автентичності та репрезентативності моделей ішемічно-гіпоксичного ураження мозку геморагічного ґенезу у тварин, відповідній патології у людини. Крім того, необхідно підібрати оптимальний видовий склад дослідних тварин, оскільки навіть серед гризунів є види у котрих сильно різниться система кровопостачання голови (мозку). Даний факт унеможливлює уніфікований підхід для доклінічного скринінгу нейропротекторної активності серед препаратів даного спек</w:t>
      </w:r>
      <w:r w:rsidR="00F504F9">
        <w:rPr>
          <w:rFonts w:ascii="Times New Roman" w:hAnsi="Times New Roman"/>
          <w:sz w:val="28"/>
          <w:szCs w:val="28"/>
          <w:lang w:val="uk-UA"/>
        </w:rPr>
        <w:t>тру фармакологічної дії. Саме пошук</w:t>
      </w:r>
      <w:r w:rsidRPr="003F5A9A">
        <w:rPr>
          <w:rFonts w:ascii="Times New Roman" w:hAnsi="Times New Roman"/>
          <w:sz w:val="28"/>
          <w:szCs w:val="28"/>
          <w:lang w:val="uk-UA"/>
        </w:rPr>
        <w:t xml:space="preserve"> або розробки оптимальної моделі, яка б задовольняла цим цілям, </w:t>
      </w:r>
      <w:r w:rsidR="00F504F9">
        <w:rPr>
          <w:rFonts w:ascii="Times New Roman" w:hAnsi="Times New Roman"/>
          <w:sz w:val="28"/>
          <w:szCs w:val="28"/>
          <w:lang w:val="uk-UA"/>
        </w:rPr>
        <w:t>розпочинається створення дизайну</w:t>
      </w:r>
      <w:r w:rsidRPr="003F5A9A">
        <w:rPr>
          <w:rFonts w:ascii="Times New Roman" w:hAnsi="Times New Roman"/>
          <w:sz w:val="28"/>
          <w:szCs w:val="28"/>
          <w:lang w:val="uk-UA"/>
        </w:rPr>
        <w:t xml:space="preserve"> будь-яких доклінічних досліджень </w:t>
      </w:r>
      <w:r w:rsidRPr="003F5A9A">
        <w:rPr>
          <w:rStyle w:val="longtext"/>
          <w:rFonts w:ascii="Times New Roman" w:hAnsi="Times New Roman"/>
          <w:sz w:val="28"/>
          <w:szCs w:val="28"/>
          <w:lang w:val="uk-UA"/>
        </w:rPr>
        <w:t>[</w:t>
      </w:r>
      <w:r w:rsidRPr="003F5A9A">
        <w:rPr>
          <w:rFonts w:ascii="Times New Roman" w:hAnsi="Times New Roman"/>
          <w:sz w:val="28"/>
          <w:szCs w:val="28"/>
          <w:lang w:val="uk-UA"/>
        </w:rPr>
        <w:t>91, 92</w:t>
      </w:r>
      <w:r w:rsidRPr="003F5A9A">
        <w:rPr>
          <w:rStyle w:val="longtext"/>
          <w:rFonts w:ascii="Times New Roman" w:hAnsi="Times New Roman"/>
          <w:sz w:val="28"/>
          <w:szCs w:val="28"/>
          <w:lang w:val="uk-UA"/>
        </w:rPr>
        <w:t>]</w:t>
      </w:r>
      <w:r w:rsidRPr="003F5A9A">
        <w:rPr>
          <w:rFonts w:ascii="Times New Roman" w:hAnsi="Times New Roman"/>
          <w:sz w:val="28"/>
          <w:szCs w:val="28"/>
          <w:lang w:val="uk-UA"/>
        </w:rPr>
        <w:t xml:space="preserve">. </w:t>
      </w:r>
    </w:p>
    <w:p w:rsidR="00012F54" w:rsidRPr="003F5A9A" w:rsidRDefault="00012F54" w:rsidP="00B065B6">
      <w:pPr>
        <w:widowControl w:val="0"/>
        <w:tabs>
          <w:tab w:val="left" w:pos="851"/>
          <w:tab w:val="left" w:pos="993"/>
        </w:tabs>
        <w:spacing w:after="0" w:line="360" w:lineRule="auto"/>
        <w:ind w:firstLine="284"/>
        <w:jc w:val="both"/>
        <w:rPr>
          <w:rFonts w:ascii="Times New Roman" w:hAnsi="Times New Roman"/>
          <w:noProof/>
          <w:sz w:val="28"/>
          <w:szCs w:val="28"/>
          <w:lang w:val="uk-UA"/>
        </w:rPr>
      </w:pPr>
      <w:r w:rsidRPr="003F5A9A">
        <w:rPr>
          <w:rFonts w:ascii="Times New Roman" w:hAnsi="Times New Roman"/>
          <w:sz w:val="28"/>
          <w:szCs w:val="28"/>
          <w:lang w:val="uk-UA"/>
        </w:rPr>
        <w:t xml:space="preserve">Для скринінгової оцінки, в якості тварин можна використати всі типові лабораторні тварини: кролів, щурів та, за наявності, монгольських піщанок (гербел) </w:t>
      </w:r>
      <w:r w:rsidRPr="003F5A9A">
        <w:rPr>
          <w:rStyle w:val="longtext"/>
          <w:rFonts w:ascii="Times New Roman" w:hAnsi="Times New Roman"/>
          <w:sz w:val="28"/>
          <w:szCs w:val="28"/>
          <w:lang w:val="uk-UA"/>
        </w:rPr>
        <w:t>[</w:t>
      </w:r>
      <w:r w:rsidRPr="003F5A9A">
        <w:rPr>
          <w:rStyle w:val="longtext"/>
          <w:rFonts w:ascii="Times New Roman" w:hAnsi="Times New Roman"/>
          <w:sz w:val="28"/>
          <w:szCs w:val="28"/>
        </w:rPr>
        <w:t>27, 93</w:t>
      </w:r>
      <w:r w:rsidRPr="003F5A9A">
        <w:rPr>
          <w:rFonts w:ascii="Times New Roman" w:hAnsi="Times New Roman"/>
          <w:sz w:val="28"/>
          <w:szCs w:val="28"/>
          <w:lang w:val="uk-UA"/>
        </w:rPr>
        <w:t>–</w:t>
      </w:r>
      <w:r w:rsidRPr="003F5A9A">
        <w:rPr>
          <w:rStyle w:val="longtext"/>
          <w:rFonts w:ascii="Times New Roman" w:hAnsi="Times New Roman"/>
          <w:sz w:val="28"/>
          <w:szCs w:val="28"/>
        </w:rPr>
        <w:t>95</w:t>
      </w:r>
      <w:r w:rsidRPr="003F5A9A">
        <w:rPr>
          <w:rStyle w:val="longtext"/>
          <w:rFonts w:ascii="Times New Roman" w:hAnsi="Times New Roman"/>
          <w:sz w:val="28"/>
          <w:szCs w:val="28"/>
          <w:lang w:val="uk-UA"/>
        </w:rPr>
        <w:t>]</w:t>
      </w:r>
      <w:r w:rsidRPr="003F5A9A">
        <w:rPr>
          <w:rFonts w:ascii="Times New Roman" w:hAnsi="Times New Roman"/>
          <w:sz w:val="28"/>
          <w:szCs w:val="28"/>
          <w:lang w:val="uk-UA"/>
        </w:rPr>
        <w:t>.</w:t>
      </w:r>
      <w:r w:rsidRPr="003F5A9A">
        <w:rPr>
          <w:rStyle w:val="longtext"/>
          <w:rFonts w:ascii="Times New Roman" w:hAnsi="Times New Roman"/>
          <w:sz w:val="28"/>
          <w:szCs w:val="28"/>
          <w:shd w:val="clear" w:color="auto" w:fill="FFFFFF"/>
          <w:lang w:val="uk-UA"/>
        </w:rPr>
        <w:t xml:space="preserve"> Для вирішення таких задач у </w:t>
      </w:r>
      <w:r w:rsidRPr="003F5A9A">
        <w:rPr>
          <w:rFonts w:ascii="Times New Roman" w:hAnsi="Times New Roman"/>
          <w:sz w:val="28"/>
          <w:szCs w:val="28"/>
          <w:lang w:val="uk-UA"/>
        </w:rPr>
        <w:t>ВНМУ імені М. І. Пирогова було створено окремий структурний підрозділ, науково-педагогічної спрямованості Навчально-науково-дослідну лабораторію «Фармадар» (ННДЛ «Фармадар»). За весь період свого існу</w:t>
      </w:r>
      <w:r w:rsidR="00784504">
        <w:rPr>
          <w:rFonts w:ascii="Times New Roman" w:hAnsi="Times New Roman"/>
          <w:sz w:val="28"/>
          <w:szCs w:val="28"/>
          <w:lang w:val="uk-UA"/>
        </w:rPr>
        <w:t>-</w:t>
      </w:r>
      <w:r w:rsidRPr="003F5A9A">
        <w:rPr>
          <w:rFonts w:ascii="Times New Roman" w:hAnsi="Times New Roman"/>
          <w:sz w:val="28"/>
          <w:szCs w:val="28"/>
          <w:lang w:val="uk-UA"/>
        </w:rPr>
        <w:t xml:space="preserve">вання (січень 2016 </w:t>
      </w:r>
      <w:r w:rsidRPr="003F5A9A">
        <w:rPr>
          <w:rFonts w:ascii="Times New Roman" w:hAnsi="Times New Roman"/>
          <w:noProof/>
          <w:sz w:val="28"/>
          <w:szCs w:val="28"/>
          <w:lang w:val="uk-UA"/>
        </w:rPr>
        <w:t>–</w:t>
      </w:r>
      <w:r w:rsidRPr="003F5A9A">
        <w:rPr>
          <w:rFonts w:ascii="Times New Roman" w:hAnsi="Times New Roman"/>
          <w:sz w:val="28"/>
          <w:szCs w:val="28"/>
          <w:lang w:val="uk-UA"/>
        </w:rPr>
        <w:t xml:space="preserve"> червень 2019) аспіранти та докторанти, які проходили стажуван</w:t>
      </w:r>
      <w:r w:rsidR="00784504">
        <w:rPr>
          <w:rFonts w:ascii="Times New Roman" w:hAnsi="Times New Roman"/>
          <w:sz w:val="28"/>
          <w:szCs w:val="28"/>
          <w:lang w:val="uk-UA"/>
        </w:rPr>
        <w:t>-</w:t>
      </w:r>
      <w:r w:rsidRPr="003F5A9A">
        <w:rPr>
          <w:rFonts w:ascii="Times New Roman" w:hAnsi="Times New Roman"/>
          <w:sz w:val="28"/>
          <w:szCs w:val="28"/>
          <w:lang w:val="uk-UA"/>
        </w:rPr>
        <w:t xml:space="preserve">ня на базі </w:t>
      </w:r>
      <w:r w:rsidRPr="003F5A9A">
        <w:rPr>
          <w:rFonts w:ascii="Times New Roman" w:hAnsi="Times New Roman"/>
          <w:noProof/>
          <w:sz w:val="28"/>
          <w:szCs w:val="28"/>
          <w:lang w:val="uk-UA"/>
        </w:rPr>
        <w:t>ННДЛ «Фармадар» за циклом по вибору «Доклінічні експериментальні дослідження» розробили ряд методик по доклінічній оцінці ефективності нових лікарських засобів та біологічно-активних речовин, на які у подальшому було отримано свідоцтва та патенти України на корисну модель [</w:t>
      </w:r>
      <w:r w:rsidRPr="003F5A9A">
        <w:rPr>
          <w:rFonts w:ascii="Times New Roman" w:hAnsi="Times New Roman"/>
          <w:sz w:val="28"/>
          <w:szCs w:val="28"/>
          <w:lang w:val="uk-UA"/>
        </w:rPr>
        <w:t xml:space="preserve">96]. </w:t>
      </w:r>
      <w:r w:rsidRPr="003F5A9A">
        <w:rPr>
          <w:rFonts w:ascii="Times New Roman" w:hAnsi="Times New Roman"/>
          <w:noProof/>
          <w:sz w:val="28"/>
          <w:szCs w:val="28"/>
          <w:lang w:val="uk-UA"/>
        </w:rPr>
        <w:t xml:space="preserve">Переважна їх більшість торкалась можливості моделювання різних патологічних станів. Також розроблено методики реєстрації параметрів основних вітальних функцій (гемодинамічні та респіраторні показники), котрі можливо виміряти за допомогою відповідних датчиків до модулів елекро-фізіологічного обладнання Transonik S100. </w:t>
      </w:r>
    </w:p>
    <w:p w:rsidR="00012F54" w:rsidRPr="003F5A9A" w:rsidRDefault="00157D12" w:rsidP="00B065B6">
      <w:pPr>
        <w:widowControl w:val="0"/>
        <w:tabs>
          <w:tab w:val="left" w:pos="851"/>
          <w:tab w:val="left" w:pos="993"/>
        </w:tabs>
        <w:spacing w:after="0" w:line="360" w:lineRule="auto"/>
        <w:ind w:firstLine="284"/>
        <w:jc w:val="both"/>
        <w:rPr>
          <w:rFonts w:ascii="Times New Roman" w:hAnsi="Times New Roman"/>
          <w:sz w:val="28"/>
          <w:szCs w:val="28"/>
          <w:lang w:val="uk-UA"/>
        </w:rPr>
      </w:pPr>
      <w:r>
        <w:rPr>
          <w:rFonts w:ascii="Times New Roman" w:hAnsi="Times New Roman"/>
          <w:noProof/>
          <w:sz w:val="28"/>
          <w:szCs w:val="28"/>
          <w:lang w:val="uk-UA"/>
        </w:rPr>
        <w:lastRenderedPageBreak/>
        <w:t>Такі методики</w:t>
      </w:r>
      <w:r w:rsidR="00012F54" w:rsidRPr="003F5A9A">
        <w:rPr>
          <w:rFonts w:ascii="Times New Roman" w:hAnsi="Times New Roman"/>
          <w:noProof/>
          <w:sz w:val="28"/>
          <w:szCs w:val="28"/>
          <w:lang w:val="uk-UA"/>
        </w:rPr>
        <w:t xml:space="preserve"> включені у Галузь технічної компетентності лабораторії. Так, наприлад, було апробовано та відпрацьовано модель ГІ по типу субарахноїдального крововиливу (САК), задачею якої</w:t>
      </w:r>
      <w:r w:rsidR="00012F54" w:rsidRPr="003F5A9A">
        <w:rPr>
          <w:rFonts w:ascii="Times New Roman" w:hAnsi="Times New Roman"/>
          <w:sz w:val="28"/>
          <w:szCs w:val="28"/>
          <w:lang w:val="uk-UA"/>
        </w:rPr>
        <w:t xml:space="preserve"> стало забезпечення стандартизованих умов відтворення геморагічного та травматичного ураження головного мозку, шляхом введення фіксованого об’єму аутокрові у САП. Запропонована модель САК у щурів, яка диференціюється по важкості на три ступеня в залежності від об’єму крові введеній у підпавутинний простір головного мозку, являє собою раціональну, валідизовану систему для первинного скринінгу перспективних нейропротекторів, що за сукупністю критеріїв (летальність (виживаність), неврологічний дефіцит, нейромаркерна активність), дає змогу всебічно та ґрунтовно оцінити їх доклінічну ефективність та, в подальшому, екстраполювати отримані дані на клінічні умови.</w:t>
      </w:r>
    </w:p>
    <w:p w:rsidR="00012F54" w:rsidRPr="003F5A9A" w:rsidRDefault="00012F54" w:rsidP="00B065B6">
      <w:pPr>
        <w:pStyle w:val="11"/>
        <w:widowControl w:val="0"/>
        <w:tabs>
          <w:tab w:val="left" w:pos="1701"/>
        </w:tabs>
        <w:spacing w:line="360" w:lineRule="auto"/>
        <w:ind w:left="0" w:firstLine="284"/>
        <w:jc w:val="both"/>
        <w:rPr>
          <w:sz w:val="28"/>
          <w:szCs w:val="28"/>
          <w:lang w:val="uk-UA"/>
        </w:rPr>
      </w:pPr>
      <w:r w:rsidRPr="003F5A9A">
        <w:rPr>
          <w:sz w:val="28"/>
          <w:szCs w:val="28"/>
          <w:lang w:val="uk-UA"/>
        </w:rPr>
        <w:t>Поряд із моделями, другим, не менш важливим при доклінічній оцінці ефективності перспективного нейропротектора, є маркерні величини обꞌєктивної оцінки його ефективності. Необхідні чіткі критерії, які спроможні віддзеркалити та ідентифікувати морфо-функціональний стан доцільно було виявити можливості імуноферментного визначення у сироватці крові активності нейронспецифічноїенолази (NSE) та змін титрів S100, які широко використовують у неврології при оцінці ступеню та глибини нейродеструкції при ішемічному ураженні мозку. До переваг цих маркерів можна віднести їх високу чутливіс</w:t>
      </w:r>
      <w:r w:rsidR="00157D12">
        <w:rPr>
          <w:sz w:val="28"/>
          <w:szCs w:val="28"/>
          <w:lang w:val="uk-UA"/>
        </w:rPr>
        <w:t xml:space="preserve">ть. </w:t>
      </w:r>
      <w:r w:rsidRPr="003F5A9A">
        <w:rPr>
          <w:sz w:val="28"/>
          <w:szCs w:val="28"/>
          <w:lang w:val="uk-UA"/>
        </w:rPr>
        <w:t xml:space="preserve"> Апробацію ефективності маркерів вирішили провести при виконанні моделі САК, оскільки за цих умов в залежності від кількості крові, ступінь пошкодження мозку різнився, і при дієвості маркерних величин, це знайшло своє закономірне віддзеркалення у міжгрупових відмінностях. До функціональних критеріїв, що безпосередньо впливають на патогенез ішемічного каскаду, є внутрішньочерепний тиск (ВЧТ), визначення якого доцільно проводити в динаміці терапії.</w:t>
      </w:r>
    </w:p>
    <w:p w:rsidR="00012F54" w:rsidRPr="005879AB" w:rsidRDefault="00012F54" w:rsidP="00B065B6">
      <w:pPr>
        <w:pStyle w:val="2"/>
        <w:spacing w:line="360" w:lineRule="auto"/>
        <w:ind w:firstLine="284"/>
        <w:jc w:val="both"/>
        <w:rPr>
          <w:rFonts w:ascii="Times New Roman" w:hAnsi="Times New Roman" w:cs="Times New Roman"/>
          <w:color w:val="auto"/>
          <w:sz w:val="28"/>
          <w:szCs w:val="28"/>
          <w:lang w:val="uk-UA"/>
        </w:rPr>
      </w:pPr>
      <w:r w:rsidRPr="005879AB">
        <w:rPr>
          <w:rStyle w:val="longtext"/>
          <w:rFonts w:ascii="Times New Roman" w:hAnsi="Times New Roman"/>
          <w:color w:val="auto"/>
          <w:sz w:val="28"/>
          <w:szCs w:val="28"/>
          <w:lang w:val="uk-UA"/>
        </w:rPr>
        <w:t xml:space="preserve">1.4. Доцільність доклінічної оцінки блокаторів різних сайтів </w:t>
      </w:r>
      <w:r w:rsidRPr="005879AB">
        <w:rPr>
          <w:rFonts w:ascii="Times New Roman" w:hAnsi="Times New Roman" w:cs="Times New Roman"/>
          <w:color w:val="auto"/>
          <w:sz w:val="28"/>
          <w:szCs w:val="28"/>
          <w:lang w:val="uk-UA"/>
        </w:rPr>
        <w:t>NMDA-рецепторів, як перспективних нейропротекторів при деструктивних захворюваннях мозку ішемічної та геморагічної природи</w:t>
      </w:r>
    </w:p>
    <w:p w:rsidR="00012F54" w:rsidRPr="00012F54" w:rsidRDefault="00012F54" w:rsidP="00B065B6">
      <w:pPr>
        <w:spacing w:after="0" w:line="360" w:lineRule="auto"/>
        <w:ind w:firstLine="284"/>
        <w:jc w:val="both"/>
        <w:rPr>
          <w:rFonts w:ascii="Times New Roman" w:hAnsi="Times New Roman"/>
          <w:color w:val="4D8055"/>
          <w:sz w:val="28"/>
          <w:szCs w:val="28"/>
          <w:lang w:val="uk-UA"/>
        </w:rPr>
      </w:pPr>
      <w:r w:rsidRPr="003F5A9A">
        <w:rPr>
          <w:rFonts w:ascii="Times New Roman" w:hAnsi="Times New Roman"/>
          <w:sz w:val="28"/>
          <w:szCs w:val="28"/>
          <w:lang w:val="uk-UA"/>
        </w:rPr>
        <w:t>Враховуючи наведені дані стосовно провідної ролі глутаматноїексайтотоксичності у розвитку деструктивно-дегенеративних змін в мозку при його ішемічно-геморагіч</w:t>
      </w:r>
      <w:r w:rsidR="00784504">
        <w:rPr>
          <w:rFonts w:ascii="Times New Roman" w:hAnsi="Times New Roman"/>
          <w:sz w:val="28"/>
          <w:szCs w:val="28"/>
          <w:lang w:val="uk-UA"/>
        </w:rPr>
        <w:t>-</w:t>
      </w:r>
      <w:r w:rsidRPr="003F5A9A">
        <w:rPr>
          <w:rFonts w:ascii="Times New Roman" w:hAnsi="Times New Roman"/>
          <w:sz w:val="28"/>
          <w:szCs w:val="28"/>
          <w:lang w:val="uk-UA"/>
        </w:rPr>
        <w:t xml:space="preserve">ному ураженні, </w:t>
      </w:r>
      <w:r w:rsidRPr="00012F54">
        <w:rPr>
          <w:rFonts w:ascii="Times New Roman" w:hAnsi="Times New Roman"/>
          <w:sz w:val="28"/>
          <w:szCs w:val="28"/>
          <w:lang w:val="uk-UA"/>
        </w:rPr>
        <w:t xml:space="preserve">в якості перспективних </w:t>
      </w:r>
      <w:r w:rsidRPr="00012F54">
        <w:rPr>
          <w:rFonts w:ascii="Times New Roman" w:hAnsi="Times New Roman"/>
          <w:sz w:val="28"/>
          <w:szCs w:val="28"/>
          <w:lang w:val="uk-UA"/>
        </w:rPr>
        <w:lastRenderedPageBreak/>
        <w:t>нейропротекторів увагу привернули саме блокатори NMDA-рецепторів – похідні адамантану (адемол, мемантин і амантади</w:t>
      </w:r>
      <w:r w:rsidR="00784504">
        <w:rPr>
          <w:rFonts w:ascii="Times New Roman" w:hAnsi="Times New Roman"/>
          <w:sz w:val="28"/>
          <w:szCs w:val="28"/>
          <w:lang w:val="uk-UA"/>
        </w:rPr>
        <w:t>-</w:t>
      </w:r>
      <w:r w:rsidRPr="00012F54">
        <w:rPr>
          <w:rFonts w:ascii="Times New Roman" w:hAnsi="Times New Roman"/>
          <w:sz w:val="28"/>
          <w:szCs w:val="28"/>
          <w:lang w:val="uk-UA"/>
        </w:rPr>
        <w:t>ну сульфату). Покази до їх призначення не розглядаються в площині органопротекції з прикладною точкою та можливістю застосування в невідкладній невро</w:t>
      </w:r>
      <w:r w:rsidR="00784504">
        <w:rPr>
          <w:rFonts w:ascii="Times New Roman" w:hAnsi="Times New Roman"/>
          <w:sz w:val="28"/>
          <w:szCs w:val="28"/>
          <w:lang w:val="uk-UA"/>
        </w:rPr>
        <w:t>-</w:t>
      </w:r>
      <w:r w:rsidRPr="00012F54">
        <w:rPr>
          <w:rFonts w:ascii="Times New Roman" w:hAnsi="Times New Roman"/>
          <w:sz w:val="28"/>
          <w:szCs w:val="28"/>
          <w:lang w:val="uk-UA"/>
        </w:rPr>
        <w:t xml:space="preserve">логії при САК, що потребує ґрунтовної доклінічної оцінки у цьому напрямку </w:t>
      </w:r>
      <w:r w:rsidRPr="00012F54">
        <w:rPr>
          <w:rStyle w:val="longtext"/>
          <w:rFonts w:ascii="Times New Roman" w:hAnsi="Times New Roman"/>
          <w:sz w:val="28"/>
          <w:szCs w:val="28"/>
          <w:lang w:val="uk-UA"/>
        </w:rPr>
        <w:t>[8, 45, 74]</w:t>
      </w:r>
      <w:r w:rsidRPr="00012F54">
        <w:rPr>
          <w:rFonts w:ascii="Times New Roman" w:hAnsi="Times New Roman"/>
          <w:sz w:val="28"/>
          <w:szCs w:val="28"/>
          <w:lang w:val="uk-UA"/>
        </w:rPr>
        <w:t>.</w:t>
      </w:r>
    </w:p>
    <w:p w:rsidR="00012F54" w:rsidRPr="00012F54" w:rsidRDefault="00012F54" w:rsidP="00B065B6">
      <w:pPr>
        <w:spacing w:after="0" w:line="360" w:lineRule="auto"/>
        <w:ind w:firstLine="284"/>
        <w:jc w:val="both"/>
        <w:rPr>
          <w:rFonts w:ascii="Times New Roman" w:hAnsi="Times New Roman"/>
          <w:color w:val="4D8055"/>
          <w:sz w:val="28"/>
          <w:szCs w:val="28"/>
          <w:lang w:val="uk-UA"/>
        </w:rPr>
      </w:pPr>
      <w:r w:rsidRPr="00012F54">
        <w:rPr>
          <w:rFonts w:ascii="Times New Roman" w:hAnsi="Times New Roman"/>
          <w:sz w:val="28"/>
          <w:szCs w:val="28"/>
          <w:lang w:val="uk-UA"/>
        </w:rPr>
        <w:t>Вперше, амантадин було запропоновано у ролі антивірусного препарату. У подальшому встановлено, що даний лікарський засіб лібералізує вивільнення дофаміну з внутрішньонейронального пулу, підвищуючи рецепторну чутливість до нього, і навіть в умовах недостатності останнього у базальних гангліях, нормалізує перебіг нейрофізіологічних процесів. Завдяки модулювальному впливу амантадину на активність NMDA-рецептори, цей препарат знайшов своє застосування при лікуванні екстрапірамідних порушень при хворобі Паркінсона, дискінезій різного ґенезу (викликаних прийомом леводопи, нейролептиків тощо). Фармацевтична промисловість випускає два хімічні підрозділи солей похідних амантадину: сульфатну та гідрохлоридну солі. Серед гідрохлоридів амантадину відомі такі препарати як мідантан, неомідантан, амантадин; сульфатів – ПК-Мерц. Амантадину сульфат та гідрохлорид майже не різняться за своїми фармакодинамічними активами, однак мають відмінності за фармакокінетичними параметрами. Амантадину сульфат забезпечує більш стабільну концентрацію препарату в структурах мозку, ліпше переноситься хворими і йому притаманні порівняно менші побічні явища. Лікарські засоби на основі амантадину гідрохлориду (наприклад, мемантин) широко</w:t>
      </w:r>
      <w:r w:rsidRPr="00012F54">
        <w:rPr>
          <w:rFonts w:ascii="Times New Roman" w:hAnsi="Times New Roman"/>
          <w:sz w:val="28"/>
          <w:szCs w:val="28"/>
          <w:lang w:val="uk-UA" w:eastAsia="en-US"/>
        </w:rPr>
        <w:t xml:space="preserve"> застосовуються при терапії судинної деменції, хвороби Альцгеймера і розсіяного склерозу. </w:t>
      </w:r>
      <w:r w:rsidRPr="00012F54">
        <w:rPr>
          <w:rFonts w:ascii="Times New Roman" w:hAnsi="Times New Roman"/>
          <w:sz w:val="28"/>
          <w:szCs w:val="28"/>
          <w:lang w:val="uk-UA"/>
        </w:rPr>
        <w:t xml:space="preserve">Винайдено водорозчинну форму амантадину сульфату ПК-Мерц – препарат для довенного застосування. На сьогодні тривають клінічні дослідження стосовно ефективності цього розчину при ЧМТ та судинних захворювань ЦНС </w:t>
      </w:r>
      <w:r w:rsidRPr="00012F54">
        <w:rPr>
          <w:rStyle w:val="longtext"/>
          <w:rFonts w:ascii="Times New Roman" w:hAnsi="Times New Roman"/>
          <w:sz w:val="28"/>
          <w:szCs w:val="28"/>
          <w:lang w:val="uk-UA"/>
        </w:rPr>
        <w:t>[7, 97–</w:t>
      </w:r>
      <w:r w:rsidRPr="00012F54">
        <w:rPr>
          <w:rFonts w:ascii="Times New Roman" w:hAnsi="Times New Roman"/>
          <w:sz w:val="28"/>
          <w:szCs w:val="28"/>
          <w:lang w:val="uk-UA"/>
        </w:rPr>
        <w:t>100</w:t>
      </w:r>
      <w:r w:rsidRPr="00012F54">
        <w:rPr>
          <w:rStyle w:val="longtext"/>
          <w:rFonts w:ascii="Times New Roman" w:hAnsi="Times New Roman"/>
          <w:sz w:val="28"/>
          <w:szCs w:val="28"/>
          <w:lang w:val="uk-UA"/>
        </w:rPr>
        <w:t>]</w:t>
      </w:r>
      <w:r w:rsidRPr="00012F54">
        <w:rPr>
          <w:rFonts w:ascii="Times New Roman" w:hAnsi="Times New Roman"/>
          <w:sz w:val="28"/>
          <w:szCs w:val="28"/>
          <w:lang w:val="uk-UA"/>
        </w:rPr>
        <w:t>.</w:t>
      </w:r>
    </w:p>
    <w:p w:rsidR="00012F54" w:rsidRPr="00012F54" w:rsidRDefault="00012F54" w:rsidP="00B065B6">
      <w:pPr>
        <w:tabs>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З-поміж неповних блокаторів NMDA-рецепторів, своєю безпечністю та довготривалою історією клінічного застосування виділяється сульфат магнію </w:t>
      </w:r>
      <w:r w:rsidRPr="00012F54">
        <w:rPr>
          <w:rStyle w:val="author-sup-separator"/>
          <w:rFonts w:ascii="Times New Roman" w:hAnsi="Times New Roman"/>
          <w:sz w:val="28"/>
          <w:szCs w:val="28"/>
          <w:lang w:val="uk-UA"/>
        </w:rPr>
        <w:t>[</w:t>
      </w:r>
      <w:r w:rsidRPr="00012F54">
        <w:rPr>
          <w:rFonts w:ascii="Times New Roman" w:hAnsi="Times New Roman"/>
          <w:sz w:val="28"/>
          <w:szCs w:val="28"/>
          <w:lang w:val="uk-UA"/>
        </w:rPr>
        <w:t>101</w:t>
      </w:r>
      <w:r w:rsidRPr="00012F54">
        <w:rPr>
          <w:rStyle w:val="author-sup-separator"/>
          <w:rFonts w:ascii="Times New Roman" w:hAnsi="Times New Roman"/>
          <w:sz w:val="28"/>
          <w:szCs w:val="28"/>
          <w:lang w:val="uk-UA"/>
        </w:rPr>
        <w:t>]</w:t>
      </w:r>
      <w:r w:rsidRPr="00012F54">
        <w:rPr>
          <w:rFonts w:ascii="Times New Roman" w:hAnsi="Times New Roman"/>
          <w:sz w:val="28"/>
          <w:szCs w:val="28"/>
          <w:lang w:val="uk-UA"/>
        </w:rPr>
        <w:t xml:space="preserve">. Встановлено, що іони магнію потенціал-залежно блокують NMDA-асоційовані канали. На моделях експериментальної церебральної ІР доведено, що на тлі застосування магнію сульфату відбувається суттєва, достовірна редукція ділянки ІР, </w:t>
      </w:r>
      <w:r w:rsidRPr="00012F54">
        <w:rPr>
          <w:rFonts w:ascii="Times New Roman" w:hAnsi="Times New Roman"/>
          <w:sz w:val="28"/>
          <w:szCs w:val="28"/>
          <w:lang w:val="uk-UA"/>
        </w:rPr>
        <w:lastRenderedPageBreak/>
        <w:t xml:space="preserve">а у пацієнтів із гострою церебральною ІР, інфузія цього препарату зменшує летальність та сприяє редукції неврологічного дефіциту поряд із поліпшенням неврологічного статусу </w:t>
      </w:r>
      <w:r w:rsidRPr="00012F54">
        <w:rPr>
          <w:rStyle w:val="author-sup-separator"/>
          <w:rFonts w:ascii="Times New Roman" w:hAnsi="Times New Roman"/>
          <w:sz w:val="28"/>
          <w:szCs w:val="28"/>
          <w:lang w:val="uk-UA"/>
        </w:rPr>
        <w:t>[</w:t>
      </w:r>
      <w:r w:rsidRPr="00012F54">
        <w:rPr>
          <w:rFonts w:ascii="Times New Roman" w:hAnsi="Times New Roman"/>
          <w:sz w:val="28"/>
          <w:szCs w:val="28"/>
          <w:lang w:val="uk-UA"/>
        </w:rPr>
        <w:t>101, 102</w:t>
      </w:r>
      <w:r w:rsidRPr="00012F54">
        <w:rPr>
          <w:rStyle w:val="author-sup-separator"/>
          <w:rFonts w:ascii="Times New Roman" w:hAnsi="Times New Roman"/>
          <w:sz w:val="28"/>
          <w:szCs w:val="28"/>
          <w:lang w:val="uk-UA"/>
        </w:rPr>
        <w:t>]</w:t>
      </w:r>
      <w:r w:rsidRPr="00012F54">
        <w:rPr>
          <w:rFonts w:ascii="Times New Roman" w:hAnsi="Times New Roman"/>
          <w:sz w:val="28"/>
          <w:szCs w:val="28"/>
          <w:lang w:val="uk-UA"/>
        </w:rPr>
        <w:t xml:space="preserve">. Однак, останній час все більше клініцистів схиляються до висновку, отриманого в результаті численних мета-аналізів, згідно яких в/в введення </w:t>
      </w:r>
      <w:r w:rsidRPr="00012F54">
        <w:rPr>
          <w:rFonts w:ascii="Times New Roman" w:hAnsi="Times New Roman"/>
          <w:sz w:val="28"/>
          <w:szCs w:val="28"/>
          <w:lang w:val="en-US"/>
        </w:rPr>
        <w:t>MgSO</w:t>
      </w:r>
      <w:r w:rsidRPr="00012F54">
        <w:rPr>
          <w:rFonts w:ascii="Times New Roman" w:hAnsi="Times New Roman"/>
          <w:sz w:val="28"/>
          <w:szCs w:val="28"/>
          <w:lang w:val="uk-UA"/>
        </w:rPr>
        <w:t>4 було ефективним в ранні терміни ішемічного ураження головного мозку, але не покращує функціональний результат та сметрність через 90 днів після інсульту [</w:t>
      </w:r>
      <w:r w:rsidRPr="00012F54">
        <w:rPr>
          <w:rFonts w:ascii="Times New Roman" w:hAnsi="Times New Roman"/>
          <w:sz w:val="28"/>
          <w:szCs w:val="28"/>
        </w:rPr>
        <w:t>102, 103</w:t>
      </w:r>
      <w:r w:rsidRPr="00012F54">
        <w:rPr>
          <w:rFonts w:ascii="Times New Roman" w:hAnsi="Times New Roman"/>
          <w:sz w:val="28"/>
          <w:szCs w:val="28"/>
          <w:lang w:val="uk-UA"/>
        </w:rPr>
        <w:t>]. Вважають, що його використання повинно бути обережним і вибірковим, наприклад, у хворих із високим АТ.</w:t>
      </w:r>
    </w:p>
    <w:p w:rsidR="00012F54" w:rsidRDefault="00012F54" w:rsidP="00B065B6">
      <w:pPr>
        <w:pStyle w:val="a5"/>
        <w:shd w:val="clear" w:color="auto" w:fill="FFFFFF"/>
        <w:tabs>
          <w:tab w:val="left" w:pos="-1080"/>
          <w:tab w:val="left" w:pos="0"/>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Таким чином, є вагоме підґрунтя для доклінічної оцінки ефективності зазначених блокаторів NMDA-рецепторів за новим призначенням в якості нейропротекторів при ішемічному та геморагічному ураженні мозку. В цьому аспекті, нашу увагу привернуло одне із похідних адамантану, а саме 1-адамантилтилокси-3-морфоліно-2-пропанолу гідрохлорид – Адемол, виробництва ПрАТ «Фармацевтична фірма «Дарниця»» (Київ, Україна) (рис. 1.1).</w:t>
      </w:r>
    </w:p>
    <w:p w:rsidR="00784504" w:rsidRPr="00784504" w:rsidRDefault="00784504" w:rsidP="00B065B6">
      <w:pPr>
        <w:pStyle w:val="a5"/>
        <w:shd w:val="clear" w:color="auto" w:fill="FFFFFF"/>
        <w:tabs>
          <w:tab w:val="left" w:pos="-1080"/>
          <w:tab w:val="left" w:pos="0"/>
        </w:tabs>
        <w:spacing w:after="0" w:line="360" w:lineRule="auto"/>
        <w:ind w:left="0" w:firstLine="284"/>
        <w:jc w:val="both"/>
        <w:rPr>
          <w:rFonts w:ascii="Times New Roman" w:hAnsi="Times New Roman"/>
          <w:sz w:val="16"/>
          <w:szCs w:val="16"/>
          <w:lang w:val="uk-UA"/>
        </w:rPr>
      </w:pPr>
    </w:p>
    <w:p w:rsidR="00012F54" w:rsidRPr="00012F54" w:rsidRDefault="00012F54" w:rsidP="00784504">
      <w:pPr>
        <w:pStyle w:val="a5"/>
        <w:shd w:val="clear" w:color="auto" w:fill="FFFFFF"/>
        <w:tabs>
          <w:tab w:val="left" w:pos="-1080"/>
          <w:tab w:val="left" w:pos="0"/>
        </w:tabs>
        <w:spacing w:after="0" w:line="360" w:lineRule="auto"/>
        <w:ind w:left="0" w:firstLine="284"/>
        <w:jc w:val="center"/>
        <w:rPr>
          <w:rFonts w:ascii="Times New Roman" w:hAnsi="Times New Roman"/>
          <w:sz w:val="28"/>
          <w:szCs w:val="28"/>
          <w:lang w:val="uk-UA"/>
        </w:rPr>
      </w:pPr>
      <w:r w:rsidRPr="00012F54">
        <w:rPr>
          <w:rFonts w:ascii="Times New Roman" w:hAnsi="Times New Roman"/>
          <w:sz w:val="28"/>
          <w:szCs w:val="28"/>
        </w:rPr>
        <w:t>Молекула 1-адамантилтилокси-3-морфоліно-2-пропанолу гідрохлориду структурно подібна до амантадину та кардіонеселективного β-адреноблокатора пропранололу</w:t>
      </w:r>
    </w:p>
    <w:p w:rsidR="00012F54" w:rsidRPr="000615DD" w:rsidRDefault="00F9347E" w:rsidP="00B065B6">
      <w:pPr>
        <w:widowControl w:val="0"/>
        <w:spacing w:after="0" w:line="360" w:lineRule="auto"/>
        <w:ind w:firstLine="284"/>
        <w:jc w:val="center"/>
        <w:rPr>
          <w:rFonts w:ascii="Times New Roman" w:hAnsi="Times New Roman"/>
          <w:sz w:val="16"/>
          <w:szCs w:val="16"/>
          <w:lang w:val="uk-UA"/>
        </w:rPr>
      </w:pPr>
      <w:r w:rsidRPr="00F9347E">
        <w:rPr>
          <w:rFonts w:ascii="Times New Roman" w:hAnsi="Times New Roman"/>
          <w:noProof/>
          <w:sz w:val="28"/>
          <w:szCs w:val="28"/>
        </w:rPr>
        <w:pict>
          <v:shapetype id="_x0000_t202" coordsize="21600,21600" o:spt="202" path="m,l,21600r21600,l21600,xe">
            <v:stroke joinstyle="miter"/>
            <v:path gradientshapeok="t" o:connecttype="rect"/>
          </v:shapetype>
          <v:shape id="Надпись 2" o:spid="_x0000_s1026" type="#_x0000_t202" style="position:absolute;left:0;text-align:left;margin-left:364.2pt;margin-top:7.1pt;width:122.25pt;height:63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" fillcolor="white [3201]" stroked="f" strokeweight=".5pt">
            <v:textbox>
              <w:txbxContent>
                <w:p w:rsidR="00360067" w:rsidRDefault="00360067" w:rsidP="00012F54">
                  <w:pPr>
                    <w:spacing w:line="240" w:lineRule="auto"/>
                    <w:rPr>
                      <w:rFonts w:ascii="Times New Roman" w:hAnsi="Times New Roman"/>
                      <w:sz w:val="28"/>
                      <w:lang w:val="uk-UA"/>
                    </w:rPr>
                  </w:pPr>
                </w:p>
                <w:p w:rsidR="00360067" w:rsidRPr="00992BDD" w:rsidRDefault="00360067" w:rsidP="00012F54">
                  <w:pPr>
                    <w:spacing w:line="240" w:lineRule="auto"/>
                    <w:rPr>
                      <w:rFonts w:ascii="Times New Roman" w:hAnsi="Times New Roman"/>
                      <w:sz w:val="28"/>
                      <w:lang w:val="uk-UA"/>
                    </w:rPr>
                  </w:pPr>
                  <w:r>
                    <w:rPr>
                      <w:rFonts w:ascii="Times New Roman" w:hAnsi="Times New Roman"/>
                      <w:sz w:val="28"/>
                      <w:lang w:val="uk-UA"/>
                    </w:rPr>
                    <w:sym w:font="Wingdings" w:char="F09F"/>
                  </w:r>
                  <w:r w:rsidRPr="00992BDD">
                    <w:rPr>
                      <w:rFonts w:ascii="Times New Roman" w:hAnsi="Times New Roman"/>
                      <w:sz w:val="36"/>
                      <w:lang w:val="uk-UA"/>
                    </w:rPr>
                    <w:t>НС</w:t>
                  </w:r>
                  <w:r w:rsidRPr="00992BDD">
                    <w:rPr>
                      <w:rFonts w:ascii="Times New Roman" w:hAnsi="Times New Roman"/>
                      <w:sz w:val="36"/>
                      <w:lang w:val="en-US"/>
                    </w:rPr>
                    <w:t>l</w:t>
                  </w:r>
                </w:p>
              </w:txbxContent>
            </v:textbox>
          </v:shape>
        </w:pict>
      </w:r>
      <w:r w:rsidR="00012F54" w:rsidRPr="00012F54">
        <w:rPr>
          <w:rFonts w:ascii="Times New Roman" w:hAnsi="Times New Roman"/>
          <w:noProof/>
          <w:sz w:val="28"/>
          <w:szCs w:val="28"/>
        </w:rPr>
        <w:drawing>
          <wp:inline distT="0" distB="0" distL="0" distR="0">
            <wp:extent cx="3957320" cy="1167267"/>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976382" cy="1172890"/>
                    </a:xfrm>
                    <a:prstGeom prst="rect">
                      <a:avLst/>
                    </a:prstGeom>
                    <a:noFill/>
                    <a:ln>
                      <a:noFill/>
                    </a:ln>
                  </pic:spPr>
                </pic:pic>
              </a:graphicData>
            </a:graphic>
          </wp:inline>
        </w:drawing>
      </w:r>
    </w:p>
    <w:p w:rsidR="00012F54" w:rsidRPr="000615DD" w:rsidRDefault="00012F54" w:rsidP="00B065B6">
      <w:pPr>
        <w:widowControl w:val="0"/>
        <w:spacing w:after="0" w:line="240" w:lineRule="auto"/>
        <w:ind w:firstLine="284"/>
        <w:jc w:val="both"/>
        <w:rPr>
          <w:rFonts w:ascii="Times New Roman" w:hAnsi="Times New Roman"/>
          <w:sz w:val="16"/>
          <w:szCs w:val="16"/>
          <w:lang w:val="uk-UA"/>
        </w:rPr>
      </w:pPr>
    </w:p>
    <w:p w:rsidR="00012F54" w:rsidRPr="00012F54" w:rsidRDefault="00012F54" w:rsidP="00784504">
      <w:pPr>
        <w:widowControl w:val="0"/>
        <w:spacing w:after="0" w:line="240" w:lineRule="auto"/>
        <w:ind w:firstLine="284"/>
        <w:jc w:val="both"/>
        <w:rPr>
          <w:rFonts w:ascii="Times New Roman" w:hAnsi="Times New Roman"/>
          <w:sz w:val="28"/>
          <w:szCs w:val="28"/>
          <w:lang w:val="uk-UA"/>
        </w:rPr>
      </w:pPr>
      <w:r w:rsidRPr="00012F54">
        <w:rPr>
          <w:rFonts w:ascii="Times New Roman" w:hAnsi="Times New Roman"/>
          <w:sz w:val="28"/>
          <w:szCs w:val="28"/>
          <w:lang w:val="uk-UA"/>
        </w:rPr>
        <w:t>Рис. 1.1</w:t>
      </w:r>
      <w:r w:rsidRPr="00012F54">
        <w:rPr>
          <w:rFonts w:ascii="Times New Roman" w:hAnsi="Times New Roman"/>
          <w:sz w:val="28"/>
          <w:szCs w:val="28"/>
        </w:rPr>
        <w:t>.</w:t>
      </w:r>
      <w:r w:rsidRPr="00012F54">
        <w:rPr>
          <w:rFonts w:ascii="Times New Roman" w:hAnsi="Times New Roman"/>
          <w:sz w:val="28"/>
          <w:szCs w:val="28"/>
          <w:lang w:val="uk-UA"/>
        </w:rPr>
        <w:t xml:space="preserve"> Просторовий хімічний скелет адемолу (1-адамантилтилокси-3-морфоліно-2-пропанолу гідрохлориду)</w:t>
      </w:r>
    </w:p>
    <w:p w:rsidR="00012F54" w:rsidRPr="000615DD" w:rsidRDefault="00012F54" w:rsidP="00B065B6">
      <w:pPr>
        <w:widowControl w:val="0"/>
        <w:spacing w:after="0" w:line="360" w:lineRule="auto"/>
        <w:ind w:firstLine="284"/>
        <w:jc w:val="both"/>
        <w:rPr>
          <w:rFonts w:ascii="Times New Roman" w:hAnsi="Times New Roman"/>
          <w:sz w:val="16"/>
          <w:szCs w:val="16"/>
          <w:lang w:val="uk-UA"/>
        </w:rPr>
      </w:pPr>
    </w:p>
    <w:p w:rsidR="00012F54" w:rsidRPr="00012F54" w:rsidRDefault="00A72D00" w:rsidP="00B065B6">
      <w:pPr>
        <w:spacing w:after="0" w:line="360" w:lineRule="auto"/>
        <w:ind w:firstLine="284"/>
        <w:jc w:val="both"/>
        <w:rPr>
          <w:rFonts w:ascii="Times New Roman" w:hAnsi="Times New Roman"/>
          <w:sz w:val="28"/>
          <w:szCs w:val="28"/>
          <w:lang w:val="uk-UA"/>
        </w:rPr>
      </w:pPr>
      <w:r>
        <w:rPr>
          <w:rFonts w:ascii="Times New Roman" w:hAnsi="Times New Roman"/>
          <w:sz w:val="28"/>
          <w:szCs w:val="28"/>
          <w:lang w:val="uk-UA" w:eastAsia="en-US"/>
        </w:rPr>
        <w:t>Наявність</w:t>
      </w:r>
      <w:r w:rsidR="00157D12">
        <w:rPr>
          <w:rFonts w:ascii="Times New Roman" w:hAnsi="Times New Roman"/>
          <w:sz w:val="28"/>
          <w:szCs w:val="28"/>
          <w:lang w:val="uk-UA" w:eastAsia="en-US"/>
        </w:rPr>
        <w:t>оф</w:t>
      </w:r>
      <w:r w:rsidR="00012F54" w:rsidRPr="00012F54">
        <w:rPr>
          <w:rFonts w:ascii="Times New Roman" w:hAnsi="Times New Roman"/>
          <w:sz w:val="28"/>
          <w:szCs w:val="28"/>
          <w:lang w:val="uk-UA" w:eastAsia="en-US"/>
        </w:rPr>
        <w:t xml:space="preserve">тальмо-, </w:t>
      </w:r>
      <w:r>
        <w:rPr>
          <w:rFonts w:ascii="Times New Roman" w:hAnsi="Times New Roman"/>
          <w:sz w:val="28"/>
          <w:szCs w:val="28"/>
          <w:lang w:val="uk-UA" w:eastAsia="en-US"/>
        </w:rPr>
        <w:t xml:space="preserve">ретино-, </w:t>
      </w:r>
      <w:r w:rsidR="00012F54" w:rsidRPr="00012F54">
        <w:rPr>
          <w:rFonts w:ascii="Times New Roman" w:hAnsi="Times New Roman"/>
          <w:sz w:val="28"/>
          <w:szCs w:val="28"/>
          <w:lang w:val="uk-UA" w:eastAsia="en-US"/>
        </w:rPr>
        <w:t>нейро-, кардіо-</w:t>
      </w:r>
      <w:r>
        <w:rPr>
          <w:rFonts w:ascii="Times New Roman" w:hAnsi="Times New Roman"/>
          <w:sz w:val="28"/>
          <w:szCs w:val="28"/>
          <w:lang w:val="uk-UA" w:eastAsia="en-US"/>
        </w:rPr>
        <w:t>,</w:t>
      </w:r>
      <w:r w:rsidR="00012F54" w:rsidRPr="00012F54">
        <w:rPr>
          <w:rFonts w:ascii="Times New Roman" w:hAnsi="Times New Roman"/>
          <w:sz w:val="28"/>
          <w:szCs w:val="28"/>
          <w:lang w:val="uk-UA"/>
        </w:rPr>
        <w:t>термо-</w:t>
      </w:r>
      <w:r w:rsidR="00012F54" w:rsidRPr="00012F54">
        <w:rPr>
          <w:rFonts w:ascii="Times New Roman" w:hAnsi="Times New Roman"/>
          <w:sz w:val="28"/>
          <w:szCs w:val="28"/>
          <w:lang w:val="uk-UA" w:eastAsia="en-US"/>
        </w:rPr>
        <w:t xml:space="preserve">актопротекторної, антигіпоксичної, протиішемічної, анксіолітичної, ноотропної, </w:t>
      </w:r>
      <w:r w:rsidR="00012F54" w:rsidRPr="00012F54">
        <w:rPr>
          <w:rFonts w:ascii="Times New Roman" w:hAnsi="Times New Roman"/>
          <w:bCs/>
          <w:sz w:val="28"/>
          <w:szCs w:val="28"/>
          <w:lang w:val="uk-UA"/>
        </w:rPr>
        <w:t>аналгетичної та</w:t>
      </w:r>
      <w:r w:rsidR="00012F54" w:rsidRPr="00012F54">
        <w:rPr>
          <w:rFonts w:ascii="Times New Roman" w:hAnsi="Times New Roman"/>
          <w:sz w:val="28"/>
          <w:szCs w:val="28"/>
          <w:lang w:val="uk-UA" w:eastAsia="en-US"/>
        </w:rPr>
        <w:t xml:space="preserve"> адаптогенної дії, а також притаманні йому </w:t>
      </w:r>
      <w:r w:rsidR="00012F54" w:rsidRPr="00012F54">
        <w:rPr>
          <w:rFonts w:ascii="Times New Roman" w:hAnsi="Times New Roman"/>
          <w:bCs/>
          <w:sz w:val="28"/>
          <w:szCs w:val="28"/>
          <w:lang w:val="uk-UA"/>
        </w:rPr>
        <w:t xml:space="preserve">антихолінестеразні, гангліо- та </w:t>
      </w:r>
      <w:r w:rsidR="00012F54" w:rsidRPr="00012F54">
        <w:rPr>
          <w:rFonts w:ascii="Times New Roman" w:hAnsi="Times New Roman"/>
          <w:bCs/>
          <w:sz w:val="28"/>
          <w:szCs w:val="28"/>
        </w:rPr>
        <w:t>β</w:t>
      </w:r>
      <w:r w:rsidR="00012F54" w:rsidRPr="00012F54">
        <w:rPr>
          <w:rFonts w:ascii="Times New Roman" w:hAnsi="Times New Roman"/>
          <w:bCs/>
          <w:sz w:val="28"/>
          <w:szCs w:val="28"/>
          <w:lang w:val="uk-UA"/>
        </w:rPr>
        <w:t xml:space="preserve">-адреноблокувальні ефекти </w:t>
      </w:r>
      <w:r w:rsidR="00012F54" w:rsidRPr="00012F54">
        <w:rPr>
          <w:rFonts w:ascii="Times New Roman" w:hAnsi="Times New Roman"/>
          <w:sz w:val="28"/>
          <w:szCs w:val="28"/>
          <w:lang w:val="uk-UA" w:eastAsia="en-US"/>
        </w:rPr>
        <w:t>[6, 11, 12, 14, 105, 107</w:t>
      </w:r>
      <w:r w:rsidR="00012F54" w:rsidRPr="00012F54">
        <w:rPr>
          <w:rFonts w:ascii="Times New Roman" w:hAnsi="Times New Roman"/>
          <w:sz w:val="28"/>
          <w:szCs w:val="28"/>
          <w:lang w:val="uk-UA"/>
        </w:rPr>
        <w:t>–</w:t>
      </w:r>
      <w:r w:rsidR="00012F54" w:rsidRPr="00012F54">
        <w:rPr>
          <w:rFonts w:ascii="Times New Roman" w:hAnsi="Times New Roman"/>
          <w:sz w:val="28"/>
          <w:szCs w:val="28"/>
          <w:lang w:val="uk-UA" w:eastAsia="en-US"/>
        </w:rPr>
        <w:t>118], дають підстави сподіватись на можливе виявлення у адемолу захисної дії на мозок і в умовах ГІ.</w:t>
      </w:r>
    </w:p>
    <w:p w:rsidR="00012F54" w:rsidRPr="00012F54" w:rsidRDefault="00012F54" w:rsidP="00B065B6">
      <w:pPr>
        <w:pStyle w:val="12"/>
        <w:widowControl w:val="0"/>
        <w:spacing w:before="0" w:beforeAutospacing="0" w:after="0" w:afterAutospacing="0" w:line="360" w:lineRule="auto"/>
        <w:ind w:firstLine="284"/>
        <w:jc w:val="both"/>
        <w:rPr>
          <w:sz w:val="28"/>
          <w:szCs w:val="28"/>
        </w:rPr>
      </w:pPr>
      <w:r w:rsidRPr="00012F54">
        <w:rPr>
          <w:sz w:val="28"/>
          <w:szCs w:val="28"/>
        </w:rPr>
        <w:t>Підґрунтям для поглибленого дослідження церебропротекторних властивостей про</w:t>
      </w:r>
      <w:r w:rsidR="00AB729C">
        <w:rPr>
          <w:sz w:val="28"/>
          <w:szCs w:val="28"/>
        </w:rPr>
        <w:t>мислового зразка 1,0 % розчину а</w:t>
      </w:r>
      <w:r w:rsidRPr="00012F54">
        <w:rPr>
          <w:sz w:val="28"/>
          <w:szCs w:val="28"/>
        </w:rPr>
        <w:t xml:space="preserve">демолу («Дарниця», Україна), стали </w:t>
      </w:r>
      <w:r w:rsidRPr="00012F54">
        <w:rPr>
          <w:sz w:val="28"/>
          <w:szCs w:val="28"/>
        </w:rPr>
        <w:lastRenderedPageBreak/>
        <w:t xml:space="preserve">результати, отримані д.мед.н., проф. Ходаківський О. А. на базі кафедри фармакології ВНМУ ім. М.І. Пирогова та ННДЛ «Фармадар» у доклінічних дослідженнях, які були присвячені оцінці його захисних властивостей на головний мозок при модельному ІІ, ретинальній ІР, або гострій офтальмогіпертензії, і опубліковані в монографії </w:t>
      </w:r>
      <w:r w:rsidRPr="00012F54">
        <w:rPr>
          <w:sz w:val="28"/>
          <w:szCs w:val="28"/>
          <w:lang w:eastAsia="en-US"/>
        </w:rPr>
        <w:t>[</w:t>
      </w:r>
      <w:r w:rsidRPr="00012F54">
        <w:rPr>
          <w:sz w:val="28"/>
          <w:szCs w:val="28"/>
        </w:rPr>
        <w:t xml:space="preserve">16]. </w:t>
      </w:r>
    </w:p>
    <w:p w:rsidR="00012F54" w:rsidRPr="00012F54" w:rsidRDefault="00012F54" w:rsidP="00B065B6">
      <w:pPr>
        <w:pStyle w:val="12"/>
        <w:widowControl w:val="0"/>
        <w:spacing w:before="0" w:beforeAutospacing="0" w:after="0" w:afterAutospacing="0" w:line="360" w:lineRule="auto"/>
        <w:ind w:firstLine="284"/>
        <w:jc w:val="both"/>
        <w:rPr>
          <w:spacing w:val="-4"/>
          <w:sz w:val="28"/>
          <w:szCs w:val="28"/>
        </w:rPr>
      </w:pPr>
      <w:r w:rsidRPr="00012F54">
        <w:rPr>
          <w:sz w:val="28"/>
          <w:szCs w:val="28"/>
        </w:rPr>
        <w:t>Так, іnvivo та invitro завдяки використанню уніфікованого методу у доклінічних дослідах, на різних моделях ІІ, або при експериментальному ураженні сітківки з’ясовано різноманітний спектр захисної дії розчину адемолу, який реалізувався на різних рівнях (від молекулярно-морфоструктурних змін в нейронах до формування неврологічного статусу та реалізації зорової функції). Доведено, що нейропротекторна активність адемолу на тільки зіставляється, а й подекуди достеменно переважає дієвість таких референтів, як амантадину і магнію сульфат</w:t>
      </w:r>
      <w:r w:rsidR="00AB729C">
        <w:rPr>
          <w:sz w:val="28"/>
          <w:szCs w:val="28"/>
        </w:rPr>
        <w:t>у</w:t>
      </w:r>
      <w:r w:rsidRPr="00012F54">
        <w:rPr>
          <w:sz w:val="28"/>
          <w:szCs w:val="28"/>
        </w:rPr>
        <w:t>, цитиколін, пірацетам, мексидол,</w:t>
      </w:r>
      <w:r w:rsidR="00AB729C">
        <w:rPr>
          <w:sz w:val="28"/>
          <w:szCs w:val="28"/>
        </w:rPr>
        <w:t>актовегін, тіотриазолін, або</w:t>
      </w:r>
      <w:r w:rsidRPr="00012F54">
        <w:rPr>
          <w:sz w:val="28"/>
          <w:szCs w:val="28"/>
        </w:rPr>
        <w:t xml:space="preserve">корвітин. На користь подібного твердження вказує його здатність умовно-ефективною терапевтичною дозою 2 мг/кг внутрішньоочеревинно (в/о) зменшувати летальність, відстрочувати загибель тварин, зменшувати патологічну неврологічну симпоматику та покращувати морфо-функціональну цілісність кори мозку і сітківки </w:t>
      </w:r>
      <w:r w:rsidRPr="00012F54">
        <w:rPr>
          <w:sz w:val="28"/>
          <w:szCs w:val="28"/>
          <w:lang w:eastAsia="en-US"/>
        </w:rPr>
        <w:t>[</w:t>
      </w:r>
      <w:r w:rsidRPr="00012F54">
        <w:rPr>
          <w:sz w:val="28"/>
          <w:szCs w:val="28"/>
        </w:rPr>
        <w:t xml:space="preserve">110–116, 120]. У цих умовах, </w:t>
      </w:r>
      <w:r w:rsidRPr="00012F54">
        <w:rPr>
          <w:spacing w:val="-4"/>
          <w:sz w:val="28"/>
          <w:szCs w:val="28"/>
        </w:rPr>
        <w:t xml:space="preserve">єдиний механізм протекторної дії адемолу пов'язано з модулювальним впливом на активність </w:t>
      </w:r>
      <w:r w:rsidRPr="00012F54">
        <w:rPr>
          <w:sz w:val="28"/>
          <w:szCs w:val="28"/>
        </w:rPr>
        <w:t>NMDA-рецепторів,</w:t>
      </w:r>
      <w:r w:rsidRPr="00012F54">
        <w:rPr>
          <w:spacing w:val="-4"/>
          <w:sz w:val="28"/>
          <w:szCs w:val="28"/>
        </w:rPr>
        <w:t xml:space="preserve"> стимуляцією кровопостачання головного мозку та ока, усуненням в нейронах кори, гіпокампу і сітківки енергодефіциту, метаболічного ацидозу, оксидантного пошкодження, модулювальною дією на баланс монооксиду азоту, збереженням цитоархітектоніки обох органів, у тому числі за рахунок редукції апоптотичних і некробіотичних програм </w:t>
      </w:r>
      <w:r w:rsidRPr="00012F54">
        <w:rPr>
          <w:sz w:val="28"/>
          <w:szCs w:val="28"/>
          <w:lang w:eastAsia="en-US"/>
        </w:rPr>
        <w:t>[</w:t>
      </w:r>
      <w:r w:rsidRPr="00012F54">
        <w:rPr>
          <w:sz w:val="28"/>
          <w:szCs w:val="28"/>
        </w:rPr>
        <w:t>110, 111, 120]</w:t>
      </w:r>
      <w:r w:rsidRPr="00012F54">
        <w:rPr>
          <w:spacing w:val="-4"/>
          <w:sz w:val="28"/>
          <w:szCs w:val="28"/>
        </w:rPr>
        <w:t xml:space="preserve">. </w:t>
      </w:r>
    </w:p>
    <w:p w:rsidR="00012F54" w:rsidRPr="00012F54" w:rsidRDefault="00012F54" w:rsidP="00B065B6">
      <w:pPr>
        <w:widowControl w:val="0"/>
        <w:tabs>
          <w:tab w:val="num" w:pos="54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Результати досліджень останніх років довели, що </w:t>
      </w:r>
      <w:r w:rsidRPr="00012F54">
        <w:rPr>
          <w:rStyle w:val="hps"/>
          <w:rFonts w:ascii="Times New Roman" w:hAnsi="Times New Roman"/>
          <w:sz w:val="28"/>
          <w:szCs w:val="28"/>
          <w:lang w:val="uk-UA"/>
        </w:rPr>
        <w:t>первинною та ведучою ланкою, існування котрої сприяє ініціації вищевказаного комплексу нейроцитопротекторних механізмів адемолу, є його здатність, як модулятора поліаміновигосайтуNMDA-</w:t>
      </w:r>
      <w:r w:rsidRPr="00012F54">
        <w:rPr>
          <w:rFonts w:ascii="Times New Roman" w:hAnsi="Times New Roman"/>
          <w:sz w:val="28"/>
          <w:szCs w:val="28"/>
          <w:lang w:val="uk-UA"/>
        </w:rPr>
        <w:t>рецепторів пер</w:t>
      </w:r>
      <w:r w:rsidR="002164A7">
        <w:rPr>
          <w:rFonts w:ascii="Times New Roman" w:hAnsi="Times New Roman"/>
          <w:sz w:val="28"/>
          <w:szCs w:val="28"/>
          <w:lang w:val="uk-UA"/>
        </w:rPr>
        <w:t>ешкоджати формуванню глутаматної</w:t>
      </w:r>
      <w:r w:rsidRPr="00012F54">
        <w:rPr>
          <w:rFonts w:ascii="Times New Roman" w:hAnsi="Times New Roman"/>
          <w:sz w:val="28"/>
          <w:szCs w:val="28"/>
          <w:lang w:val="uk-UA"/>
        </w:rPr>
        <w:t xml:space="preserve">ексайтотоксичності без розвитку типових побічних ефектів, що притаманні повним блокаторам N-метил-D-аспартатного сайту </w:t>
      </w:r>
      <w:r w:rsidRPr="00012F54">
        <w:rPr>
          <w:rFonts w:ascii="Times New Roman" w:hAnsi="Times New Roman"/>
          <w:sz w:val="28"/>
          <w:szCs w:val="28"/>
          <w:lang w:val="uk-UA" w:eastAsia="en-US"/>
        </w:rPr>
        <w:t>[</w:t>
      </w:r>
      <w:r w:rsidRPr="00012F54">
        <w:rPr>
          <w:rFonts w:ascii="Times New Roman" w:hAnsi="Times New Roman"/>
          <w:sz w:val="28"/>
          <w:szCs w:val="28"/>
          <w:lang w:val="uk-UA"/>
        </w:rPr>
        <w:t>11, 116–120]</w:t>
      </w:r>
      <w:r w:rsidRPr="00012F54">
        <w:rPr>
          <w:rFonts w:ascii="Times New Roman" w:hAnsi="Times New Roman"/>
          <w:spacing w:val="-4"/>
          <w:sz w:val="28"/>
          <w:szCs w:val="28"/>
          <w:lang w:val="uk-UA"/>
        </w:rPr>
        <w:t>.</w:t>
      </w:r>
    </w:p>
    <w:p w:rsidR="00012F54" w:rsidRPr="00012F54" w:rsidRDefault="00012F54" w:rsidP="00B065B6">
      <w:pPr>
        <w:widowControl w:val="0"/>
        <w:tabs>
          <w:tab w:val="num" w:pos="540"/>
        </w:tabs>
        <w:spacing w:after="0" w:line="360" w:lineRule="auto"/>
        <w:ind w:firstLine="284"/>
        <w:jc w:val="both"/>
        <w:rPr>
          <w:rFonts w:ascii="Times New Roman" w:hAnsi="Times New Roman"/>
          <w:sz w:val="28"/>
          <w:szCs w:val="28"/>
          <w:lang w:val="uk-UA" w:eastAsia="uk-UA"/>
        </w:rPr>
      </w:pPr>
      <w:r w:rsidRPr="00012F54">
        <w:rPr>
          <w:rFonts w:ascii="Times New Roman" w:hAnsi="Times New Roman"/>
          <w:sz w:val="28"/>
          <w:szCs w:val="28"/>
          <w:lang w:val="uk-UA"/>
        </w:rPr>
        <w:t xml:space="preserve">При оцінці фармакологічних характеристик аспартат-активованих струмів на ізольованих гіпокампальних  нейронах гіпокампу новонароджених білих щурів лінії </w:t>
      </w:r>
      <w:r w:rsidRPr="00012F54">
        <w:rPr>
          <w:rFonts w:ascii="Times New Roman" w:hAnsi="Times New Roman"/>
          <w:sz w:val="28"/>
          <w:szCs w:val="28"/>
          <w:lang w:val="uk-UA"/>
        </w:rPr>
        <w:lastRenderedPageBreak/>
        <w:t>Вістар WAG\GS з’ясовано, що досліджуване похідне адамантану</w:t>
      </w:r>
      <w:r w:rsidRPr="00012F54">
        <w:rPr>
          <w:rStyle w:val="hps"/>
          <w:rFonts w:ascii="Times New Roman" w:hAnsi="Times New Roman"/>
          <w:sz w:val="28"/>
          <w:szCs w:val="28"/>
          <w:lang w:val="uk-UA"/>
        </w:rPr>
        <w:t>виступає якантагоніст/агоністполіаміновогосайтуNMDA-</w:t>
      </w:r>
      <w:r w:rsidRPr="00012F54">
        <w:rPr>
          <w:rFonts w:ascii="Times New Roman" w:hAnsi="Times New Roman"/>
          <w:sz w:val="28"/>
          <w:szCs w:val="28"/>
          <w:lang w:val="uk-UA"/>
        </w:rPr>
        <w:t xml:space="preserve">рецепторів [11, 120]. За рахунок цього він </w:t>
      </w:r>
      <w:r w:rsidRPr="00012F54">
        <w:rPr>
          <w:rStyle w:val="hps"/>
          <w:rFonts w:ascii="Times New Roman" w:hAnsi="Times New Roman"/>
          <w:sz w:val="28"/>
          <w:szCs w:val="28"/>
          <w:lang w:val="uk-UA"/>
        </w:rPr>
        <w:t>перешкоджає формуванню деструктивно-дегенеративних змін</w:t>
      </w:r>
      <w:r w:rsidRPr="00012F54">
        <w:rPr>
          <w:rFonts w:ascii="Times New Roman" w:hAnsi="Times New Roman"/>
          <w:sz w:val="28"/>
          <w:szCs w:val="28"/>
          <w:lang w:val="uk-UA"/>
        </w:rPr>
        <w:t xml:space="preserve">, безпосередньо патофізіологічно асоційованих глутаматноюексайтотоксичністю. Біологічно-активні речовини із подібним механізмом дії </w:t>
      </w:r>
      <w:r w:rsidRPr="00012F54">
        <w:rPr>
          <w:rStyle w:val="hps"/>
          <w:rFonts w:ascii="Times New Roman" w:hAnsi="Times New Roman"/>
          <w:sz w:val="28"/>
          <w:szCs w:val="28"/>
          <w:lang w:val="uk-UA"/>
        </w:rPr>
        <w:t>маютьнейротрофічну та нейрореставраційну складову</w:t>
      </w:r>
      <w:r w:rsidRPr="00012F54">
        <w:rPr>
          <w:rFonts w:ascii="Times New Roman" w:hAnsi="Times New Roman"/>
          <w:sz w:val="28"/>
          <w:szCs w:val="28"/>
          <w:lang w:val="uk-UA"/>
        </w:rPr>
        <w:t xml:space="preserve"> та </w:t>
      </w:r>
      <w:r w:rsidRPr="00012F54">
        <w:rPr>
          <w:rStyle w:val="hps"/>
          <w:rFonts w:ascii="Times New Roman" w:hAnsi="Times New Roman"/>
          <w:sz w:val="28"/>
          <w:szCs w:val="28"/>
          <w:lang w:val="uk-UA"/>
        </w:rPr>
        <w:t>здатніпідвищуватиекспресіюбілківпам'ятіCREB</w:t>
      </w:r>
      <w:r w:rsidRPr="00012F54">
        <w:rPr>
          <w:rFonts w:ascii="Times New Roman" w:hAnsi="Times New Roman"/>
          <w:sz w:val="28"/>
          <w:szCs w:val="28"/>
          <w:lang w:val="uk-UA"/>
        </w:rPr>
        <w:t>. Варто відмітити, що препарати із</w:t>
      </w:r>
      <w:r w:rsidRPr="00012F54">
        <w:rPr>
          <w:rStyle w:val="hps"/>
          <w:rFonts w:ascii="Times New Roman" w:hAnsi="Times New Roman"/>
          <w:sz w:val="28"/>
          <w:szCs w:val="28"/>
          <w:lang w:val="uk-UA"/>
        </w:rPr>
        <w:t xml:space="preserve"> зазначеною дією наполіаміновийсайтNMDA-</w:t>
      </w:r>
      <w:r w:rsidRPr="00012F54">
        <w:rPr>
          <w:rFonts w:ascii="Times New Roman" w:hAnsi="Times New Roman"/>
          <w:sz w:val="28"/>
          <w:szCs w:val="28"/>
          <w:lang w:val="uk-UA"/>
        </w:rPr>
        <w:t xml:space="preserve">рецепторів </w:t>
      </w:r>
      <w:r w:rsidRPr="00012F54">
        <w:rPr>
          <w:rStyle w:val="hps"/>
          <w:rFonts w:ascii="Times New Roman" w:hAnsi="Times New Roman"/>
          <w:sz w:val="28"/>
          <w:szCs w:val="28"/>
          <w:lang w:val="uk-UA"/>
        </w:rPr>
        <w:t>не призводять до появинебажаних побічних ефектів з боку ЦНС</w:t>
      </w:r>
      <w:r w:rsidRPr="00012F54">
        <w:rPr>
          <w:rFonts w:ascii="Times New Roman" w:hAnsi="Times New Roman"/>
          <w:sz w:val="28"/>
          <w:szCs w:val="28"/>
          <w:lang w:val="uk-UA"/>
        </w:rPr>
        <w:t xml:space="preserve">, які притаманні повним блокаторам </w:t>
      </w:r>
      <w:r w:rsidRPr="00012F54">
        <w:rPr>
          <w:rStyle w:val="hps"/>
          <w:rFonts w:ascii="Times New Roman" w:hAnsi="Times New Roman"/>
          <w:sz w:val="28"/>
          <w:szCs w:val="28"/>
          <w:lang w:val="uk-UA"/>
        </w:rPr>
        <w:t>фенциклідиновогосайту</w:t>
      </w:r>
      <w:r w:rsidRPr="00012F54">
        <w:rPr>
          <w:rFonts w:ascii="Times New Roman" w:hAnsi="Times New Roman"/>
          <w:sz w:val="28"/>
          <w:szCs w:val="28"/>
          <w:lang w:val="uk-UA"/>
        </w:rPr>
        <w:t xml:space="preserve"> і проявляються у </w:t>
      </w:r>
      <w:r w:rsidRPr="00012F54">
        <w:rPr>
          <w:rStyle w:val="hps"/>
          <w:rFonts w:ascii="Times New Roman" w:hAnsi="Times New Roman"/>
          <w:sz w:val="28"/>
          <w:szCs w:val="28"/>
          <w:lang w:val="uk-UA"/>
        </w:rPr>
        <w:t>виглядікогнітивно-</w:t>
      </w:r>
      <w:r w:rsidRPr="00012F54">
        <w:rPr>
          <w:rFonts w:ascii="Times New Roman" w:hAnsi="Times New Roman"/>
          <w:sz w:val="28"/>
          <w:szCs w:val="28"/>
          <w:lang w:val="uk-UA"/>
        </w:rPr>
        <w:t>мнестичних</w:t>
      </w:r>
      <w:r w:rsidRPr="00012F54">
        <w:rPr>
          <w:rStyle w:val="hps"/>
          <w:rFonts w:ascii="Times New Roman" w:hAnsi="Times New Roman"/>
          <w:sz w:val="28"/>
          <w:szCs w:val="28"/>
          <w:lang w:val="uk-UA"/>
        </w:rPr>
        <w:t>розладів</w:t>
      </w:r>
      <w:r w:rsidRPr="00012F54">
        <w:rPr>
          <w:rFonts w:ascii="Times New Roman" w:hAnsi="Times New Roman"/>
          <w:sz w:val="28"/>
          <w:szCs w:val="28"/>
          <w:lang w:val="uk-UA"/>
        </w:rPr>
        <w:t>.</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Однією із рецепторних відмінностей адемолу від інших похідних адамантану, є його антагонізм до β-адренорецепторів, який проявляється за рахунок хімічної подібності амінного фрагменту до пропранололу і забезпечує кардіопротекторну активність при модельному інфаркті міокарда, гострій адреналіновій кардіоміопатії та супроводжується утеротонічним ефектом [119]. Встановлено, що завдяки неселек</w:t>
      </w:r>
      <w:r w:rsidR="00784504">
        <w:rPr>
          <w:rFonts w:ascii="Times New Roman" w:hAnsi="Times New Roman"/>
          <w:sz w:val="28"/>
          <w:szCs w:val="28"/>
          <w:lang w:val="uk-UA"/>
        </w:rPr>
        <w:t>-</w:t>
      </w:r>
      <w:r w:rsidRPr="00012F54">
        <w:rPr>
          <w:rFonts w:ascii="Times New Roman" w:hAnsi="Times New Roman"/>
          <w:sz w:val="28"/>
          <w:szCs w:val="28"/>
          <w:lang w:val="uk-UA"/>
        </w:rPr>
        <w:t>тивній блокаді β-адренорецепторів у венулах твердої мозкової оболонки (синуси мозку) мальпігієвих судинах та капілярах судинних сплетень ока, адемол знижує під</w:t>
      </w:r>
      <w:r w:rsidR="00784504">
        <w:rPr>
          <w:rFonts w:ascii="Times New Roman" w:hAnsi="Times New Roman"/>
          <w:sz w:val="28"/>
          <w:szCs w:val="28"/>
          <w:lang w:val="uk-UA"/>
        </w:rPr>
        <w:t>-</w:t>
      </w:r>
      <w:r w:rsidRPr="00012F54">
        <w:rPr>
          <w:rFonts w:ascii="Times New Roman" w:hAnsi="Times New Roman"/>
          <w:sz w:val="28"/>
          <w:szCs w:val="28"/>
          <w:lang w:val="uk-UA"/>
        </w:rPr>
        <w:t>вищеннийвнутрішньочний тиск та ВЧТ при вищевказаних моделях ІР мозку та зоро</w:t>
      </w:r>
      <w:r w:rsidR="00784504">
        <w:rPr>
          <w:rFonts w:ascii="Times New Roman" w:hAnsi="Times New Roman"/>
          <w:sz w:val="28"/>
          <w:szCs w:val="28"/>
          <w:lang w:val="uk-UA"/>
        </w:rPr>
        <w:t>-</w:t>
      </w:r>
      <w:r w:rsidRPr="00012F54">
        <w:rPr>
          <w:rFonts w:ascii="Times New Roman" w:hAnsi="Times New Roman"/>
          <w:sz w:val="28"/>
          <w:szCs w:val="28"/>
          <w:lang w:val="uk-UA"/>
        </w:rPr>
        <w:t>вого аналізатора [120]. При ГІ це потребує додаткового з’ясування та обґрунтування.</w:t>
      </w:r>
    </w:p>
    <w:p w:rsidR="00012F54" w:rsidRPr="00012F54" w:rsidRDefault="00012F54" w:rsidP="00B065B6">
      <w:pPr>
        <w:widowControl w:val="0"/>
        <w:tabs>
          <w:tab w:val="num" w:pos="540"/>
        </w:tabs>
        <w:spacing w:after="0" w:line="360" w:lineRule="auto"/>
        <w:ind w:firstLine="284"/>
        <w:jc w:val="both"/>
        <w:rPr>
          <w:rFonts w:ascii="Times New Roman" w:hAnsi="Times New Roman"/>
          <w:bCs/>
          <w:sz w:val="28"/>
          <w:szCs w:val="28"/>
          <w:lang w:val="uk-UA"/>
        </w:rPr>
      </w:pPr>
      <w:r w:rsidRPr="00012F54">
        <w:rPr>
          <w:rFonts w:ascii="Times New Roman" w:hAnsi="Times New Roman"/>
          <w:sz w:val="28"/>
          <w:szCs w:val="28"/>
          <w:lang w:val="uk-UA"/>
        </w:rPr>
        <w:t>Аналізуючи викладені факти, можна припустити, що адемол як і його структурні аналоги із класу адамантанів та адреноблокаторів, може володіти доброю ліпофільною активністю, що призведе до його вільного проникнення через гематоенцефалічний бар’єр (ГЕБ), що як і у випадку теоретичного опису можливих механізмів у зниженні ВЧТ потребує доказу.</w:t>
      </w:r>
    </w:p>
    <w:p w:rsidR="00012F54" w:rsidRPr="00012F54" w:rsidRDefault="007F0FDA" w:rsidP="00B065B6">
      <w:pPr>
        <w:widowControl w:val="0"/>
        <w:spacing w:after="0" w:line="360" w:lineRule="auto"/>
        <w:ind w:firstLine="284"/>
        <w:jc w:val="both"/>
        <w:rPr>
          <w:rFonts w:ascii="Times New Roman" w:hAnsi="Times New Roman"/>
          <w:b/>
          <w:sz w:val="28"/>
          <w:szCs w:val="28"/>
          <w:lang w:val="uk-UA"/>
        </w:rPr>
      </w:pPr>
      <w:r>
        <w:rPr>
          <w:rFonts w:ascii="Times New Roman" w:hAnsi="Times New Roman"/>
          <w:sz w:val="28"/>
          <w:szCs w:val="28"/>
          <w:lang w:val="uk-UA" w:eastAsia="en-US"/>
        </w:rPr>
        <w:t>Н</w:t>
      </w:r>
      <w:r w:rsidR="00012F54" w:rsidRPr="00012F54">
        <w:rPr>
          <w:rFonts w:ascii="Times New Roman" w:hAnsi="Times New Roman"/>
          <w:sz w:val="28"/>
          <w:szCs w:val="28"/>
          <w:lang w:val="uk-UA" w:eastAsia="en-US"/>
        </w:rPr>
        <w:t>едостатньо висвітленими є питання впливу адемолу на формування стероїдної нейротоксичності, яка приходить на зміну глутаматноїексайтотоксичності. Її розвиток пов'язаний із надмірним впливом на пірамідні нейрони кори головного мозку та СА</w:t>
      </w:r>
      <w:r w:rsidR="00012F54" w:rsidRPr="00012F54">
        <w:rPr>
          <w:rFonts w:ascii="Times New Roman" w:hAnsi="Times New Roman"/>
          <w:sz w:val="28"/>
          <w:szCs w:val="28"/>
          <w:vertAlign w:val="subscript"/>
          <w:lang w:val="uk-UA" w:eastAsia="en-US"/>
        </w:rPr>
        <w:t>1</w:t>
      </w:r>
      <w:r w:rsidR="00012F54" w:rsidRPr="00012F54">
        <w:rPr>
          <w:rFonts w:ascii="Times New Roman" w:hAnsi="Times New Roman"/>
          <w:sz w:val="28"/>
          <w:szCs w:val="28"/>
          <w:lang w:val="uk-UA" w:eastAsia="en-US"/>
        </w:rPr>
        <w:t xml:space="preserve">гіпокампальні зони підвищених титрів стресороформуючого гормону кортизолу. Співробітниками кафедри фармакології ВНМУ ім. М.І. Пирогова оцінили наявні стреспротекторні властивості адемолу (актопротекторна та </w:t>
      </w:r>
      <w:r w:rsidR="00012F54" w:rsidRPr="00012F54">
        <w:rPr>
          <w:rFonts w:ascii="Times New Roman" w:hAnsi="Times New Roman"/>
          <w:sz w:val="28"/>
          <w:szCs w:val="28"/>
          <w:lang w:val="uk-UA" w:eastAsia="en-US"/>
        </w:rPr>
        <w:lastRenderedPageBreak/>
        <w:t xml:space="preserve">адаптогенна дія), що дає змогу сподіватись на наявність у нього і антинейростероїдної дії в умовах САК. </w:t>
      </w:r>
      <w:r w:rsidR="00012F54" w:rsidRPr="00012F54">
        <w:rPr>
          <w:rFonts w:ascii="Times New Roman" w:hAnsi="Times New Roman"/>
          <w:b/>
          <w:sz w:val="28"/>
          <w:szCs w:val="28"/>
          <w:lang w:val="uk-UA"/>
        </w:rPr>
        <w:br w:type="page"/>
      </w:r>
    </w:p>
    <w:p w:rsidR="00E22529" w:rsidRDefault="00012F54" w:rsidP="00B065B6">
      <w:pPr>
        <w:widowControl w:val="0"/>
        <w:spacing w:after="0" w:line="360" w:lineRule="auto"/>
        <w:ind w:right="140" w:firstLine="284"/>
        <w:jc w:val="both"/>
        <w:rPr>
          <w:rFonts w:ascii="Times New Roman" w:hAnsi="Times New Roman"/>
          <w:b/>
          <w:sz w:val="28"/>
          <w:szCs w:val="28"/>
          <w:lang w:val="uk-UA"/>
        </w:rPr>
      </w:pPr>
      <w:r w:rsidRPr="00012F54">
        <w:rPr>
          <w:rFonts w:ascii="Times New Roman" w:hAnsi="Times New Roman"/>
          <w:b/>
          <w:sz w:val="28"/>
          <w:szCs w:val="28"/>
          <w:lang w:val="uk-UA"/>
        </w:rPr>
        <w:lastRenderedPageBreak/>
        <w:t>Висновок до розділу</w:t>
      </w:r>
      <w:r w:rsidR="007F0FDA">
        <w:rPr>
          <w:rFonts w:ascii="Times New Roman" w:hAnsi="Times New Roman"/>
          <w:b/>
          <w:sz w:val="28"/>
          <w:szCs w:val="28"/>
          <w:lang w:val="uk-UA"/>
        </w:rPr>
        <w:t xml:space="preserve"> 1</w:t>
      </w:r>
    </w:p>
    <w:p w:rsidR="00E22529" w:rsidRDefault="00E22529" w:rsidP="00B065B6">
      <w:pPr>
        <w:widowControl w:val="0"/>
        <w:spacing w:after="0" w:line="360" w:lineRule="auto"/>
        <w:ind w:right="140" w:firstLine="284"/>
        <w:jc w:val="both"/>
        <w:rPr>
          <w:rFonts w:ascii="Times New Roman" w:hAnsi="Times New Roman"/>
          <w:b/>
          <w:sz w:val="28"/>
          <w:szCs w:val="28"/>
          <w:lang w:val="uk-UA"/>
        </w:rPr>
      </w:pPr>
    </w:p>
    <w:p w:rsidR="00012F54" w:rsidRPr="00012F54" w:rsidRDefault="00012F54" w:rsidP="00B065B6">
      <w:pPr>
        <w:widowControl w:val="0"/>
        <w:spacing w:after="0" w:line="360" w:lineRule="auto"/>
        <w:ind w:right="140" w:firstLine="284"/>
        <w:jc w:val="both"/>
        <w:rPr>
          <w:rFonts w:ascii="Times New Roman" w:hAnsi="Times New Roman"/>
          <w:sz w:val="28"/>
          <w:szCs w:val="28"/>
          <w:lang w:val="uk-UA"/>
        </w:rPr>
      </w:pPr>
      <w:r w:rsidRPr="00012F54">
        <w:rPr>
          <w:rFonts w:ascii="Times New Roman" w:hAnsi="Times New Roman"/>
          <w:sz w:val="28"/>
          <w:szCs w:val="28"/>
          <w:lang w:val="uk-UA"/>
        </w:rPr>
        <w:t>Незадовільні результати лікування уражень мозку, як наслідок ішемічно-гіпоксичного процесу при ГІ, поєднуються із висо</w:t>
      </w:r>
      <w:r w:rsidR="007F0FDA">
        <w:rPr>
          <w:rFonts w:ascii="Times New Roman" w:hAnsi="Times New Roman"/>
          <w:sz w:val="28"/>
          <w:szCs w:val="28"/>
          <w:lang w:val="uk-UA"/>
        </w:rPr>
        <w:t>ки</w:t>
      </w:r>
      <w:r w:rsidRPr="00012F54">
        <w:rPr>
          <w:rFonts w:ascii="Times New Roman" w:hAnsi="Times New Roman"/>
          <w:sz w:val="28"/>
          <w:szCs w:val="28"/>
          <w:lang w:val="uk-UA"/>
        </w:rPr>
        <w:t xml:space="preserve">м відсотком смертності та інвалідизації хворих, що, здебільшого, можна асоціювати та пояснити відсутністю уніфікованих протоколів надання невідкладної та кваліфікованої медичної допомоги із залученням церебропротекторів із доведеною згідно засад доказової медицини ефективністю, </w:t>
      </w:r>
      <w:r w:rsidRPr="00012F54">
        <w:rPr>
          <w:rFonts w:ascii="Times New Roman" w:hAnsi="Times New Roman"/>
          <w:spacing w:val="-2"/>
          <w:sz w:val="28"/>
          <w:szCs w:val="28"/>
          <w:lang w:val="uk-UA"/>
        </w:rPr>
        <w:t>що і обґрунтовує медично-соціальну значущість розробки та упровадження препаратів цього класу. Г</w:t>
      </w:r>
      <w:r w:rsidRPr="00012F54">
        <w:rPr>
          <w:rFonts w:ascii="Times New Roman" w:hAnsi="Times New Roman"/>
          <w:bCs/>
          <w:sz w:val="28"/>
          <w:szCs w:val="28"/>
          <w:lang w:val="uk-UA"/>
        </w:rPr>
        <w:t xml:space="preserve">лутаматнаексайтотоксичність, яка опосередкована надмірним перезбудженням </w:t>
      </w:r>
      <w:r w:rsidRPr="00012F54">
        <w:rPr>
          <w:rFonts w:ascii="Times New Roman" w:hAnsi="Times New Roman"/>
          <w:sz w:val="28"/>
          <w:szCs w:val="28"/>
          <w:lang w:val="uk-UA"/>
        </w:rPr>
        <w:t xml:space="preserve">NMDA-рецепторів, </w:t>
      </w:r>
      <w:r w:rsidRPr="00012F54">
        <w:rPr>
          <w:rFonts w:ascii="Times New Roman" w:hAnsi="Times New Roman"/>
          <w:bCs/>
          <w:sz w:val="28"/>
          <w:szCs w:val="28"/>
          <w:lang w:val="uk-UA"/>
        </w:rPr>
        <w:t>дефіцит внутрішньо</w:t>
      </w:r>
      <w:r w:rsidR="00784504">
        <w:rPr>
          <w:rFonts w:ascii="Times New Roman" w:hAnsi="Times New Roman"/>
          <w:bCs/>
          <w:sz w:val="28"/>
          <w:szCs w:val="28"/>
          <w:lang w:val="uk-UA"/>
        </w:rPr>
        <w:t>-</w:t>
      </w:r>
      <w:r w:rsidRPr="00012F54">
        <w:rPr>
          <w:rFonts w:ascii="Times New Roman" w:hAnsi="Times New Roman"/>
          <w:bCs/>
          <w:sz w:val="28"/>
          <w:szCs w:val="28"/>
          <w:lang w:val="uk-UA"/>
        </w:rPr>
        <w:t xml:space="preserve">нейронального енергозабезпечення, зміни оксидантно-антиоксидантного балансу, регуляції кислотно-лужної рівноваги, обміну оксиду азоту </w:t>
      </w:r>
      <w:r w:rsidRPr="00012F54">
        <w:rPr>
          <w:rFonts w:ascii="Times New Roman" w:hAnsi="Times New Roman"/>
          <w:color w:val="000000"/>
          <w:sz w:val="28"/>
          <w:szCs w:val="28"/>
          <w:lang w:val="uk-UA"/>
        </w:rPr>
        <w:t>–</w:t>
      </w:r>
      <w:r w:rsidR="0015531A">
        <w:rPr>
          <w:rFonts w:ascii="Times New Roman" w:hAnsi="Times New Roman"/>
          <w:color w:val="000000"/>
          <w:sz w:val="28"/>
          <w:szCs w:val="28"/>
          <w:lang w:val="uk-UA"/>
        </w:rPr>
        <w:t xml:space="preserve"> все </w:t>
      </w:r>
      <w:r w:rsidRPr="00012F54">
        <w:rPr>
          <w:rFonts w:ascii="Times New Roman" w:hAnsi="Times New Roman"/>
          <w:color w:val="000000"/>
          <w:sz w:val="28"/>
          <w:szCs w:val="28"/>
          <w:lang w:val="uk-UA"/>
        </w:rPr>
        <w:t xml:space="preserve">це </w:t>
      </w:r>
      <w:r w:rsidRPr="00012F54">
        <w:rPr>
          <w:rFonts w:ascii="Times New Roman" w:hAnsi="Times New Roman"/>
          <w:sz w:val="28"/>
          <w:szCs w:val="28"/>
          <w:lang w:val="uk-UA"/>
        </w:rPr>
        <w:t xml:space="preserve">являє собою перспективний шлях, за яким варто здійснити фармакологічну розробку первинної цереброротекторної програми, зокрема і за рахунок розширення показань до застосування вже відомих та зареєстрованих у Державному фармакологічному центрі лікарських засобів із NMDA-модулювальною дією за новим призначенням. Таким лікарським препаратом, зважаючи на дані, що отримано співробітниками ВНМУ ім. М.І Пирогова на моделях патологічних станів, відмінних від ГІ, однак які мають подібні не патогномонічні до крововиливу в мозок синдромокомплеси, може стати таке похідне адамантану, як 1-адамантилтилокси-3-морфоліно-2-пропанолу гідрохлорид – адемол, який виробляється із готової хімічної сировини </w:t>
      </w:r>
      <w:r w:rsidRPr="00012F54">
        <w:rPr>
          <w:rFonts w:ascii="Times New Roman" w:hAnsi="Times New Roman"/>
          <w:sz w:val="28"/>
          <w:szCs w:val="28"/>
          <w:shd w:val="clear" w:color="auto" w:fill="FFFFFF"/>
          <w:lang w:val="uk-UA"/>
        </w:rPr>
        <w:t>"</w:t>
      </w:r>
      <w:r w:rsidRPr="00012F54">
        <w:rPr>
          <w:rStyle w:val="a9"/>
          <w:rFonts w:ascii="Times New Roman" w:hAnsi="Times New Roman"/>
          <w:sz w:val="28"/>
          <w:szCs w:val="28"/>
          <w:shd w:val="clear" w:color="auto" w:fill="FFFFFF"/>
          <w:lang w:val="uk-UA"/>
        </w:rPr>
        <w:t>inbulk</w:t>
      </w:r>
      <w:r w:rsidRPr="00012F54">
        <w:rPr>
          <w:rFonts w:ascii="Times New Roman" w:hAnsi="Times New Roman"/>
          <w:sz w:val="28"/>
          <w:szCs w:val="28"/>
          <w:shd w:val="clear" w:color="auto" w:fill="FFFFFF"/>
          <w:lang w:val="uk-UA"/>
        </w:rPr>
        <w:t>"</w:t>
      </w:r>
      <w:r w:rsidRPr="00012F54">
        <w:rPr>
          <w:rFonts w:ascii="Times New Roman" w:hAnsi="Times New Roman"/>
          <w:sz w:val="28"/>
          <w:szCs w:val="28"/>
          <w:lang w:val="uk-UA"/>
        </w:rPr>
        <w:t xml:space="preserve"> на базі виробни</w:t>
      </w:r>
      <w:r w:rsidR="0015531A">
        <w:rPr>
          <w:rFonts w:ascii="Times New Roman" w:hAnsi="Times New Roman"/>
          <w:sz w:val="28"/>
          <w:szCs w:val="28"/>
          <w:lang w:val="uk-UA"/>
        </w:rPr>
        <w:t>-</w:t>
      </w:r>
      <w:r w:rsidRPr="00012F54">
        <w:rPr>
          <w:rFonts w:ascii="Times New Roman" w:hAnsi="Times New Roman"/>
          <w:sz w:val="28"/>
          <w:szCs w:val="28"/>
          <w:lang w:val="uk-UA"/>
        </w:rPr>
        <w:t xml:space="preserve">чихпотужностей ПрАТ «Фармацевтична фірма «Дарниця»» (м. Київ, Україна). </w:t>
      </w:r>
    </w:p>
    <w:p w:rsidR="00012F54" w:rsidRPr="00012F54" w:rsidRDefault="00012F54" w:rsidP="00B065B6">
      <w:pPr>
        <w:widowControl w:val="0"/>
        <w:spacing w:after="0" w:line="360" w:lineRule="auto"/>
        <w:ind w:right="140" w:firstLine="284"/>
        <w:jc w:val="both"/>
        <w:rPr>
          <w:rFonts w:ascii="Times New Roman" w:hAnsi="Times New Roman"/>
          <w:sz w:val="28"/>
          <w:szCs w:val="28"/>
          <w:lang w:val="uk-UA" w:eastAsia="en-US"/>
        </w:rPr>
      </w:pPr>
      <w:r w:rsidRPr="00012F54">
        <w:rPr>
          <w:rFonts w:ascii="Times New Roman" w:hAnsi="Times New Roman"/>
          <w:sz w:val="28"/>
          <w:szCs w:val="28"/>
          <w:lang w:val="uk-UA"/>
        </w:rPr>
        <w:t xml:space="preserve">В наведеній оглядовій частині рукопису представлено та проаналізовано </w:t>
      </w:r>
      <w:r w:rsidRPr="00012F54">
        <w:rPr>
          <w:rFonts w:ascii="Times New Roman" w:hAnsi="Times New Roman"/>
          <w:sz w:val="28"/>
          <w:szCs w:val="28"/>
          <w:lang w:val="uk-UA" w:eastAsia="en-US"/>
        </w:rPr>
        <w:t xml:space="preserve">особливості патобіохічного каскаду в нейронах (глутаматна і стероїдна токсичність, енергодефіцит, оксидативний та нітрозативний стрес, апоптоз, нейронекроз) при ГІ та труднощі при розробці і впровадженню нових нейропротекторів. Теоретично зорієнтовано та намічено можливий напрямок фармакологічного пошуку перспективного протектора, яким може бути адемол. Заплановано оцінити та з’ясувати нові можливі види активності при даному патологічному стані шляхом вивчення особливостей фармакодинамічних аспектів </w:t>
      </w:r>
      <w:r w:rsidRPr="00012F54">
        <w:rPr>
          <w:rFonts w:ascii="Times New Roman" w:hAnsi="Times New Roman"/>
          <w:sz w:val="28"/>
          <w:szCs w:val="28"/>
          <w:lang w:val="uk-UA" w:eastAsia="en-US"/>
        </w:rPr>
        <w:lastRenderedPageBreak/>
        <w:t>в умовах модельного інтракраніального крововиливу, після розробки адаптованої та валідизованої моделі ГІ. З метою вивчення можливих механізмів протекторної дії адемолу в цих умовах, доцільно дослідити вплив препарату на інтенсивність нейродеструктивних змін, енергозабезпечення, процеси ПОЛ та окисної модифікації білків, реалізацію феномену нейроапоптозу, глутаматної і стероїдної ексайтотоксичності.</w:t>
      </w:r>
    </w:p>
    <w:p w:rsidR="00012F54" w:rsidRPr="00012F54" w:rsidRDefault="00012F54" w:rsidP="00B065B6">
      <w:pPr>
        <w:ind w:firstLine="284"/>
        <w:rPr>
          <w:rFonts w:ascii="Times New Roman" w:hAnsi="Times New Roman"/>
          <w:sz w:val="28"/>
          <w:szCs w:val="28"/>
          <w:lang w:val="uk-UA"/>
        </w:rPr>
      </w:pPr>
    </w:p>
    <w:p w:rsidR="00012F54" w:rsidRPr="00012F54" w:rsidRDefault="00012F54" w:rsidP="00B065B6">
      <w:pPr>
        <w:spacing w:after="160" w:line="259" w:lineRule="auto"/>
        <w:ind w:firstLine="284"/>
        <w:rPr>
          <w:rFonts w:ascii="Times New Roman" w:hAnsi="Times New Roman"/>
          <w:lang w:val="uk-UA"/>
        </w:rPr>
      </w:pPr>
      <w:r w:rsidRPr="00012F54">
        <w:rPr>
          <w:rFonts w:ascii="Times New Roman" w:hAnsi="Times New Roman"/>
          <w:lang w:val="uk-UA"/>
        </w:rPr>
        <w:br w:type="page"/>
      </w:r>
    </w:p>
    <w:p w:rsidR="00012F54" w:rsidRPr="00012F54" w:rsidRDefault="00012F54" w:rsidP="00B065B6">
      <w:pPr>
        <w:pStyle w:val="ad"/>
        <w:pageBreakBefore/>
        <w:ind w:firstLine="284"/>
        <w:rPr>
          <w:b/>
          <w:bCs/>
          <w:caps/>
        </w:rPr>
      </w:pPr>
      <w:r w:rsidRPr="00012F54">
        <w:rPr>
          <w:b/>
          <w:bCs/>
          <w:caps/>
        </w:rPr>
        <w:lastRenderedPageBreak/>
        <w:t>Розділ 2</w:t>
      </w:r>
    </w:p>
    <w:p w:rsidR="00012F54" w:rsidRPr="00012F54" w:rsidRDefault="00012F54" w:rsidP="00B065B6">
      <w:pPr>
        <w:widowControl w:val="0"/>
        <w:spacing w:after="0" w:line="360" w:lineRule="auto"/>
        <w:ind w:firstLine="284"/>
        <w:jc w:val="center"/>
        <w:rPr>
          <w:rFonts w:ascii="Times New Roman" w:hAnsi="Times New Roman"/>
          <w:b/>
          <w:sz w:val="28"/>
          <w:szCs w:val="28"/>
          <w:lang w:val="uk-UA"/>
        </w:rPr>
      </w:pPr>
      <w:r w:rsidRPr="00012F54">
        <w:rPr>
          <w:rFonts w:ascii="Times New Roman" w:hAnsi="Times New Roman"/>
          <w:b/>
          <w:sz w:val="28"/>
          <w:szCs w:val="28"/>
          <w:lang w:val="uk-UA"/>
        </w:rPr>
        <w:t>МАТЕРІАЛИ, МОДЕЛІ ТА МЕТОДИ ДОСЛІДЖЕННЯ</w:t>
      </w:r>
    </w:p>
    <w:p w:rsidR="00012F54" w:rsidRPr="00012F54" w:rsidRDefault="00012F54" w:rsidP="00B065B6">
      <w:pPr>
        <w:widowControl w:val="0"/>
        <w:spacing w:after="0" w:line="360" w:lineRule="auto"/>
        <w:ind w:firstLine="284"/>
        <w:jc w:val="center"/>
        <w:rPr>
          <w:rFonts w:ascii="Times New Roman" w:hAnsi="Times New Roman"/>
          <w:b/>
          <w:sz w:val="28"/>
          <w:szCs w:val="28"/>
          <w:lang w:val="uk-UA"/>
        </w:rPr>
      </w:pPr>
    </w:p>
    <w:p w:rsidR="00012F54" w:rsidRPr="005879AB" w:rsidRDefault="00012F54" w:rsidP="00B065B6">
      <w:pPr>
        <w:pStyle w:val="2"/>
        <w:spacing w:line="360" w:lineRule="auto"/>
        <w:ind w:firstLine="284"/>
        <w:jc w:val="both"/>
        <w:rPr>
          <w:rFonts w:ascii="Times New Roman" w:hAnsi="Times New Roman" w:cs="Times New Roman"/>
          <w:color w:val="auto"/>
          <w:sz w:val="28"/>
          <w:szCs w:val="28"/>
          <w:lang w:val="uk-UA"/>
        </w:rPr>
      </w:pPr>
      <w:r w:rsidRPr="005879AB">
        <w:rPr>
          <w:rFonts w:ascii="Times New Roman" w:hAnsi="Times New Roman" w:cs="Times New Roman"/>
          <w:color w:val="auto"/>
          <w:sz w:val="28"/>
          <w:szCs w:val="28"/>
          <w:lang w:val="uk-UA"/>
        </w:rPr>
        <w:t>2.1</w:t>
      </w:r>
      <w:r w:rsidRPr="005879AB">
        <w:rPr>
          <w:rFonts w:ascii="Times New Roman" w:hAnsi="Times New Roman" w:cs="Times New Roman"/>
          <w:color w:val="auto"/>
          <w:sz w:val="28"/>
          <w:szCs w:val="28"/>
        </w:rPr>
        <w:t>.</w:t>
      </w:r>
      <w:r w:rsidRPr="005879AB">
        <w:rPr>
          <w:rFonts w:ascii="Times New Roman" w:hAnsi="Times New Roman" w:cs="Times New Roman"/>
          <w:color w:val="auto"/>
          <w:sz w:val="28"/>
          <w:szCs w:val="28"/>
          <w:lang w:val="uk-UA"/>
        </w:rPr>
        <w:t xml:space="preserve"> Опис дослідних тварин та умови їх утримання</w:t>
      </w:r>
    </w:p>
    <w:p w:rsidR="00012F54" w:rsidRPr="00012F54" w:rsidRDefault="00012F54" w:rsidP="00B065B6">
      <w:pPr>
        <w:pStyle w:val="a5"/>
        <w:widowControl w:val="0"/>
        <w:tabs>
          <w:tab w:val="left" w:pos="851"/>
          <w:tab w:val="left" w:pos="993"/>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Експерименти виконано на 1144 білих нелінійних статево зрілих щурах-самцях, віком 2,5</w:t>
      </w:r>
      <w:r w:rsidRPr="00012F54">
        <w:rPr>
          <w:rFonts w:ascii="Times New Roman" w:hAnsi="Times New Roman"/>
          <w:sz w:val="28"/>
          <w:szCs w:val="28"/>
        </w:rPr>
        <w:t>–</w:t>
      </w:r>
      <w:r w:rsidRPr="00012F54">
        <w:rPr>
          <w:rFonts w:ascii="Times New Roman" w:hAnsi="Times New Roman"/>
          <w:sz w:val="28"/>
          <w:szCs w:val="28"/>
          <w:lang w:val="uk-UA"/>
        </w:rPr>
        <w:t>3 міс із середньою масою тіла не менше 160 г (160</w:t>
      </w:r>
      <w:r w:rsidRPr="00012F54">
        <w:rPr>
          <w:rFonts w:ascii="Times New Roman" w:hAnsi="Times New Roman"/>
          <w:sz w:val="28"/>
          <w:szCs w:val="28"/>
        </w:rPr>
        <w:t>–</w:t>
      </w:r>
      <w:r w:rsidRPr="00012F54">
        <w:rPr>
          <w:rFonts w:ascii="Times New Roman" w:hAnsi="Times New Roman"/>
          <w:sz w:val="28"/>
          <w:szCs w:val="28"/>
          <w:lang w:val="uk-UA"/>
        </w:rPr>
        <w:t>180 г)</w:t>
      </w:r>
      <w:r w:rsidRPr="00012F54">
        <w:rPr>
          <w:rFonts w:ascii="Times New Roman" w:hAnsi="Times New Roman"/>
          <w:caps/>
          <w:sz w:val="28"/>
          <w:szCs w:val="28"/>
          <w:lang w:val="uk-UA"/>
        </w:rPr>
        <w:t>.</w:t>
      </w:r>
    </w:p>
    <w:p w:rsidR="00012F54" w:rsidRPr="00012F54" w:rsidRDefault="00012F54" w:rsidP="00B065B6">
      <w:pPr>
        <w:pStyle w:val="a5"/>
        <w:widowControl w:val="0"/>
        <w:tabs>
          <w:tab w:val="left" w:pos="851"/>
          <w:tab w:val="left" w:pos="993"/>
        </w:tabs>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Під час роботи з лабораторними тваринами дотримані методичні рекомендації «Державного фармакологічного центру МОЗ України» [</w:t>
      </w:r>
      <w:r w:rsidRPr="00012F54">
        <w:rPr>
          <w:rFonts w:ascii="Times New Roman" w:hAnsi="Times New Roman"/>
          <w:sz w:val="28"/>
          <w:szCs w:val="28"/>
          <w:lang w:val="uk-UA" w:eastAsia="en-US"/>
        </w:rPr>
        <w:t>121</w:t>
      </w:r>
      <w:r w:rsidRPr="00012F54">
        <w:rPr>
          <w:rFonts w:ascii="Times New Roman" w:hAnsi="Times New Roman"/>
          <w:sz w:val="28"/>
          <w:szCs w:val="28"/>
          <w:lang w:val="uk-UA"/>
        </w:rPr>
        <w:t>] та ін. нормативних документів з доклінічного вивчення потенційних лікарських засобів [122, 123], вимоги біоетики згідно до “Загальних етичних принципів експериментів на тваринах”, затверджених Першим національним конгресом України з біоетики (Київ, 2001), положень “Європейської конвенції про захист хребетних тварин, які використовуються для експериментальних та інших наукових цілей” (Страсбург, 1986), директив Ради Європи 86/609/ЕЕС (1986), Закону України № 3447-IV від 21.02.2006 “Про захист тварин від жорстокого поводження” [</w:t>
      </w:r>
      <w:r w:rsidRPr="00012F54">
        <w:rPr>
          <w:rFonts w:ascii="Times New Roman" w:hAnsi="Times New Roman"/>
          <w:sz w:val="28"/>
          <w:szCs w:val="28"/>
          <w:lang w:val="uk-UA" w:eastAsia="en-US"/>
        </w:rPr>
        <w:t>124</w:t>
      </w:r>
      <w:r w:rsidRPr="00012F54">
        <w:rPr>
          <w:rFonts w:ascii="Times New Roman" w:hAnsi="Times New Roman"/>
          <w:sz w:val="28"/>
          <w:szCs w:val="28"/>
          <w:lang w:val="uk-UA"/>
        </w:rPr>
        <w:t>–</w:t>
      </w:r>
      <w:r w:rsidRPr="00012F54">
        <w:rPr>
          <w:rFonts w:ascii="Times New Roman" w:hAnsi="Times New Roman"/>
          <w:sz w:val="28"/>
          <w:szCs w:val="28"/>
          <w:lang w:val="uk-UA" w:eastAsia="en-US"/>
        </w:rPr>
        <w:t>126</w:t>
      </w:r>
      <w:r w:rsidRPr="00012F54">
        <w:rPr>
          <w:rFonts w:ascii="Times New Roman" w:hAnsi="Times New Roman"/>
          <w:sz w:val="28"/>
          <w:szCs w:val="28"/>
          <w:lang w:val="uk-UA"/>
        </w:rPr>
        <w:t>]. Дотримання етичних норм засвідчено комітетом з біоетики Вінницького національного медичного університету (ВНМУ) ім. М.І. Пирогова (протокол №3 від 25.05.2020).</w:t>
      </w:r>
    </w:p>
    <w:p w:rsidR="00012F54" w:rsidRPr="00012F54" w:rsidRDefault="00012F54" w:rsidP="00B065B6">
      <w:pPr>
        <w:pStyle w:val="aa"/>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Лабораторні тварини знаходились у віварії ВНМУ ім. М.І. Пирогова на стандартизованому нутрітивному балансі із довільним забезпеченням кип'яченою охолодженою водою у скляних поїлках та харчами за температури навколишнього середовища </w:t>
      </w:r>
      <w:r w:rsidRPr="00012F54">
        <w:rPr>
          <w:rFonts w:ascii="Times New Roman" w:hAnsi="Times New Roman"/>
          <w:caps/>
          <w:sz w:val="28"/>
          <w:szCs w:val="28"/>
          <w:lang w:val="uk-UA"/>
        </w:rPr>
        <w:t>21</w:t>
      </w:r>
      <w:r w:rsidRPr="00012F54">
        <w:rPr>
          <w:rFonts w:ascii="Times New Roman" w:hAnsi="Times New Roman"/>
          <w:sz w:val="28"/>
          <w:szCs w:val="28"/>
          <w:lang w:val="uk-UA"/>
        </w:rPr>
        <w:t>–</w:t>
      </w:r>
      <w:r w:rsidRPr="00012F54">
        <w:rPr>
          <w:rFonts w:ascii="Times New Roman" w:hAnsi="Times New Roman"/>
          <w:caps/>
          <w:sz w:val="28"/>
          <w:szCs w:val="28"/>
          <w:lang w:val="uk-UA"/>
        </w:rPr>
        <w:t>25</w:t>
      </w:r>
      <w:r w:rsidRPr="00012F54">
        <w:rPr>
          <w:rFonts w:ascii="Times New Roman" w:hAnsi="Times New Roman"/>
          <w:sz w:val="28"/>
          <w:szCs w:val="28"/>
          <w:vertAlign w:val="superscript"/>
          <w:lang w:val="uk-UA"/>
        </w:rPr>
        <w:t>о</w:t>
      </w:r>
      <w:r w:rsidRPr="00012F54">
        <w:rPr>
          <w:rFonts w:ascii="Times New Roman" w:hAnsi="Times New Roman"/>
          <w:sz w:val="28"/>
          <w:szCs w:val="28"/>
          <w:lang w:val="uk-UA"/>
        </w:rPr>
        <w:t>С, відносній вологості повітря 54–59 % та циклічній зміні штучного освітлення щопівдоби. Головна складова раціону тварин складалась із станда</w:t>
      </w:r>
      <w:r w:rsidR="007F0FDA">
        <w:rPr>
          <w:rFonts w:ascii="Times New Roman" w:hAnsi="Times New Roman"/>
          <w:sz w:val="28"/>
          <w:szCs w:val="28"/>
          <w:lang w:val="uk-UA"/>
        </w:rPr>
        <w:t>ртизованої збалансованої суміші</w:t>
      </w:r>
      <w:r w:rsidRPr="00012F54">
        <w:rPr>
          <w:rFonts w:ascii="Times New Roman" w:hAnsi="Times New Roman"/>
          <w:sz w:val="28"/>
          <w:szCs w:val="28"/>
          <w:lang w:val="uk-UA"/>
        </w:rPr>
        <w:t xml:space="preserve"> зернових (пшениця, овес, кукурудза, ячмінь), білого пшеничного хліба, коренеплодів (буряк, морква), білокачанної капусти, молока, трави (конюшина), повнораціонного гранульованого комбікорму. </w:t>
      </w:r>
    </w:p>
    <w:p w:rsidR="00012F54" w:rsidRPr="00012F54" w:rsidRDefault="00012F54" w:rsidP="00B065B6">
      <w:pPr>
        <w:pStyle w:val="aa"/>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Вибірка та рандомізація і розподіл щурів по дослідним групам відбувалась за методом мінімізації відхилень по масі тіла натще. Розподіл тварин на серії дослідів відповідно до мети та завдань дослідження наведений в табл. 2.1 та 2.2.</w:t>
      </w:r>
    </w:p>
    <w:p w:rsidR="00012F54" w:rsidRDefault="00012F54" w:rsidP="00B065B6">
      <w:pPr>
        <w:pStyle w:val="aa"/>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До експерименту обирались лише тварини у задовільному соматичному стані, які мали гарні екстер’єрні властивості (маркер здорового стану).</w:t>
      </w:r>
    </w:p>
    <w:p w:rsidR="00020D33" w:rsidRPr="00012F54" w:rsidRDefault="00020D33" w:rsidP="00012F54">
      <w:pPr>
        <w:pStyle w:val="aa"/>
        <w:widowControl w:val="0"/>
        <w:spacing w:after="0" w:line="360" w:lineRule="auto"/>
        <w:ind w:firstLine="284"/>
        <w:jc w:val="both"/>
        <w:rPr>
          <w:rFonts w:ascii="Times New Roman" w:hAnsi="Times New Roman"/>
          <w:sz w:val="28"/>
          <w:szCs w:val="28"/>
          <w:lang w:val="uk-UA"/>
        </w:rPr>
      </w:pPr>
    </w:p>
    <w:p w:rsidR="00012F54" w:rsidRPr="00012F54" w:rsidRDefault="00012F54" w:rsidP="00012F54">
      <w:pPr>
        <w:widowControl w:val="0"/>
        <w:spacing w:after="0" w:line="360" w:lineRule="auto"/>
        <w:ind w:firstLine="284"/>
        <w:jc w:val="right"/>
        <w:rPr>
          <w:rFonts w:ascii="Times New Roman" w:hAnsi="Times New Roman"/>
          <w:bCs/>
          <w:sz w:val="28"/>
          <w:szCs w:val="28"/>
          <w:lang w:val="uk-UA"/>
        </w:rPr>
      </w:pPr>
      <w:r w:rsidRPr="00012F54">
        <w:rPr>
          <w:rFonts w:ascii="Times New Roman" w:hAnsi="Times New Roman"/>
          <w:bCs/>
          <w:sz w:val="28"/>
          <w:szCs w:val="28"/>
          <w:lang w:val="uk-UA"/>
        </w:rPr>
        <w:lastRenderedPageBreak/>
        <w:t>Таблиця 2.1</w:t>
      </w:r>
    </w:p>
    <w:p w:rsidR="00012F54" w:rsidRPr="00012F54" w:rsidRDefault="00012F54" w:rsidP="00012F54">
      <w:pPr>
        <w:widowControl w:val="0"/>
        <w:spacing w:after="0" w:line="360" w:lineRule="auto"/>
        <w:ind w:firstLine="284"/>
        <w:jc w:val="center"/>
        <w:rPr>
          <w:rFonts w:ascii="Times New Roman" w:hAnsi="Times New Roman"/>
          <w:bCs/>
          <w:sz w:val="28"/>
          <w:szCs w:val="28"/>
          <w:lang w:val="uk-UA"/>
        </w:rPr>
      </w:pPr>
      <w:r w:rsidRPr="00012F54">
        <w:rPr>
          <w:rFonts w:ascii="Times New Roman" w:hAnsi="Times New Roman"/>
          <w:bCs/>
          <w:sz w:val="28"/>
          <w:szCs w:val="28"/>
          <w:lang w:val="uk-UA"/>
        </w:rPr>
        <w:t xml:space="preserve">Рандомізація щурів по дослідним групам </w:t>
      </w:r>
    </w:p>
    <w:p w:rsidR="00012F54" w:rsidRPr="00012F54" w:rsidRDefault="00012F54" w:rsidP="00012F54">
      <w:pPr>
        <w:widowControl w:val="0"/>
        <w:spacing w:after="0" w:line="360" w:lineRule="auto"/>
        <w:ind w:firstLine="284"/>
        <w:jc w:val="center"/>
        <w:rPr>
          <w:rFonts w:ascii="Times New Roman" w:hAnsi="Times New Roman"/>
          <w:bCs/>
          <w:sz w:val="28"/>
          <w:szCs w:val="28"/>
        </w:rPr>
      </w:pPr>
      <w:r w:rsidRPr="00012F54">
        <w:rPr>
          <w:rFonts w:ascii="Times New Roman" w:hAnsi="Times New Roman"/>
          <w:bCs/>
          <w:sz w:val="28"/>
          <w:szCs w:val="28"/>
          <w:lang w:val="uk-UA"/>
        </w:rPr>
        <w:t>при субарахноїдальному крововиливі</w:t>
      </w:r>
    </w:p>
    <w:p w:rsidR="00012F54" w:rsidRPr="00012F54" w:rsidRDefault="00012F54" w:rsidP="00012F54">
      <w:pPr>
        <w:widowControl w:val="0"/>
        <w:spacing w:after="0" w:line="240" w:lineRule="auto"/>
        <w:ind w:firstLine="284"/>
        <w:jc w:val="center"/>
        <w:rPr>
          <w:rFonts w:ascii="Times New Roman" w:hAnsi="Times New Roman"/>
          <w:bCs/>
          <w:sz w:val="28"/>
          <w:szCs w:val="28"/>
        </w:rPr>
      </w:pP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2"/>
        <w:gridCol w:w="3767"/>
        <w:gridCol w:w="3664"/>
        <w:gridCol w:w="771"/>
        <w:gridCol w:w="679"/>
      </w:tblGrid>
      <w:tr w:rsidR="00012F54" w:rsidRPr="00012F54" w:rsidTr="00012F54">
        <w:trPr>
          <w:trHeight w:val="454"/>
          <w:jc w:val="center"/>
        </w:trPr>
        <w:tc>
          <w:tcPr>
            <w:tcW w:w="832" w:type="dxa"/>
            <w:vAlign w:val="center"/>
          </w:tcPr>
          <w:p w:rsidR="00012F54" w:rsidRPr="00012F54" w:rsidRDefault="00012F54" w:rsidP="00012F54">
            <w:pPr>
              <w:widowControl w:val="0"/>
              <w:spacing w:before="120" w:after="120" w:line="240" w:lineRule="auto"/>
              <w:jc w:val="center"/>
              <w:rPr>
                <w:rFonts w:ascii="Times New Roman" w:hAnsi="Times New Roman"/>
                <w:bCs/>
                <w:sz w:val="28"/>
                <w:szCs w:val="28"/>
                <w:lang w:val="uk-UA"/>
              </w:rPr>
            </w:pPr>
            <w:r w:rsidRPr="00012F54">
              <w:rPr>
                <w:rFonts w:ascii="Times New Roman" w:hAnsi="Times New Roman"/>
                <w:bCs/>
                <w:sz w:val="28"/>
                <w:szCs w:val="28"/>
                <w:lang w:val="uk-UA"/>
              </w:rPr>
              <w:t>№№</w:t>
            </w:r>
          </w:p>
          <w:p w:rsidR="00012F54" w:rsidRPr="00012F54" w:rsidRDefault="00012F54" w:rsidP="00012F54">
            <w:pPr>
              <w:widowControl w:val="0"/>
              <w:spacing w:before="120" w:after="120" w:line="240" w:lineRule="auto"/>
              <w:jc w:val="center"/>
              <w:rPr>
                <w:rFonts w:ascii="Times New Roman" w:hAnsi="Times New Roman"/>
                <w:bCs/>
                <w:sz w:val="28"/>
                <w:szCs w:val="28"/>
                <w:lang w:val="uk-UA"/>
              </w:rPr>
            </w:pPr>
            <w:r w:rsidRPr="00012F54">
              <w:rPr>
                <w:rFonts w:ascii="Times New Roman" w:hAnsi="Times New Roman"/>
                <w:bCs/>
                <w:sz w:val="28"/>
                <w:szCs w:val="28"/>
                <w:lang w:val="uk-UA"/>
              </w:rPr>
              <w:t>серії</w:t>
            </w:r>
          </w:p>
        </w:tc>
        <w:tc>
          <w:tcPr>
            <w:tcW w:w="7431" w:type="dxa"/>
            <w:gridSpan w:val="2"/>
            <w:vAlign w:val="center"/>
          </w:tcPr>
          <w:p w:rsidR="00012F54" w:rsidRPr="00012F54" w:rsidRDefault="00012F54" w:rsidP="00012F54">
            <w:pPr>
              <w:widowControl w:val="0"/>
              <w:spacing w:before="120" w:after="120" w:line="240" w:lineRule="auto"/>
              <w:jc w:val="center"/>
              <w:rPr>
                <w:rFonts w:ascii="Times New Roman" w:hAnsi="Times New Roman"/>
                <w:bCs/>
                <w:sz w:val="28"/>
                <w:szCs w:val="28"/>
                <w:lang w:val="uk-UA"/>
              </w:rPr>
            </w:pPr>
            <w:r w:rsidRPr="00012F54">
              <w:rPr>
                <w:rFonts w:ascii="Times New Roman" w:hAnsi="Times New Roman"/>
                <w:bCs/>
                <w:sz w:val="28"/>
                <w:szCs w:val="28"/>
                <w:lang w:val="uk-UA"/>
              </w:rPr>
              <w:t>Вектор експериментального напрямку</w:t>
            </w:r>
          </w:p>
        </w:tc>
        <w:tc>
          <w:tcPr>
            <w:tcW w:w="1450" w:type="dxa"/>
            <w:gridSpan w:val="2"/>
            <w:vAlign w:val="center"/>
          </w:tcPr>
          <w:p w:rsidR="00012F54" w:rsidRPr="00012F54" w:rsidRDefault="00012F54" w:rsidP="00012F54">
            <w:pPr>
              <w:widowControl w:val="0"/>
              <w:spacing w:before="120" w:after="120" w:line="240" w:lineRule="auto"/>
              <w:jc w:val="center"/>
              <w:rPr>
                <w:rFonts w:ascii="Times New Roman" w:hAnsi="Times New Roman"/>
                <w:bCs/>
                <w:sz w:val="28"/>
                <w:szCs w:val="28"/>
                <w:lang w:val="uk-UA"/>
              </w:rPr>
            </w:pPr>
            <w:r w:rsidRPr="00012F54">
              <w:rPr>
                <w:rFonts w:ascii="Times New Roman" w:hAnsi="Times New Roman"/>
                <w:bCs/>
                <w:sz w:val="28"/>
                <w:szCs w:val="28"/>
                <w:lang w:val="uk-UA"/>
              </w:rPr>
              <w:t>Сумарна кількість щурів</w:t>
            </w:r>
          </w:p>
        </w:tc>
      </w:tr>
      <w:tr w:rsidR="00012F54" w:rsidRPr="00012F54" w:rsidTr="00012F54">
        <w:trPr>
          <w:trHeight w:val="277"/>
          <w:jc w:val="center"/>
        </w:trPr>
        <w:tc>
          <w:tcPr>
            <w:tcW w:w="9713" w:type="dxa"/>
            <w:gridSpan w:val="5"/>
            <w:vAlign w:val="center"/>
          </w:tcPr>
          <w:p w:rsidR="00012F54" w:rsidRPr="00012F54" w:rsidRDefault="00012F54" w:rsidP="00012F54">
            <w:pPr>
              <w:widowControl w:val="0"/>
              <w:spacing w:before="120" w:after="120" w:line="240" w:lineRule="auto"/>
              <w:jc w:val="both"/>
              <w:rPr>
                <w:rFonts w:ascii="Times New Roman" w:hAnsi="Times New Roman"/>
                <w:b/>
                <w:sz w:val="28"/>
                <w:szCs w:val="28"/>
                <w:lang w:val="uk-UA"/>
              </w:rPr>
            </w:pPr>
            <w:r w:rsidRPr="00012F54">
              <w:rPr>
                <w:rFonts w:ascii="Times New Roman" w:hAnsi="Times New Roman"/>
                <w:b/>
                <w:sz w:val="28"/>
                <w:szCs w:val="28"/>
                <w:lang w:val="uk-UA"/>
              </w:rPr>
              <w:t>Модель субарахноїдального крововиливу у щурів</w:t>
            </w:r>
          </w:p>
        </w:tc>
      </w:tr>
      <w:tr w:rsidR="00012F54" w:rsidRPr="00012F54" w:rsidTr="00012F54">
        <w:trPr>
          <w:trHeight w:val="842"/>
          <w:jc w:val="center"/>
        </w:trPr>
        <w:tc>
          <w:tcPr>
            <w:tcW w:w="832" w:type="dxa"/>
            <w:vMerge w:val="restart"/>
            <w:vAlign w:val="center"/>
          </w:tcPr>
          <w:p w:rsidR="00012F54" w:rsidRPr="00012F54" w:rsidRDefault="00012F54" w:rsidP="00012F54">
            <w:pPr>
              <w:widowControl w:val="0"/>
              <w:spacing w:after="0" w:line="240" w:lineRule="auto"/>
              <w:jc w:val="right"/>
              <w:rPr>
                <w:rFonts w:ascii="Times New Roman" w:hAnsi="Times New Roman"/>
                <w:bCs/>
                <w:sz w:val="28"/>
                <w:szCs w:val="28"/>
                <w:lang w:val="uk-UA"/>
              </w:rPr>
            </w:pPr>
            <w:r w:rsidRPr="00012F54">
              <w:rPr>
                <w:rFonts w:ascii="Times New Roman" w:hAnsi="Times New Roman"/>
                <w:bCs/>
                <w:sz w:val="28"/>
                <w:szCs w:val="28"/>
                <w:lang w:val="uk-UA"/>
              </w:rPr>
              <w:t>1</w:t>
            </w:r>
          </w:p>
        </w:tc>
        <w:tc>
          <w:tcPr>
            <w:tcW w:w="3767" w:type="dxa"/>
            <w:vMerge w:val="restart"/>
            <w:vAlign w:val="center"/>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Апробація та відпрацювання  моделі субарахноїдального крововиливу у щурів із паралельною оцінкою ступеня його важкості в залежності від об’єму крові введеній у підпавутинний простір за критеріями:</w:t>
            </w:r>
          </w:p>
        </w:tc>
        <w:tc>
          <w:tcPr>
            <w:tcW w:w="3664" w:type="dxa"/>
            <w:vAlign w:val="center"/>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показника летальності</w:t>
            </w:r>
          </w:p>
        </w:tc>
        <w:tc>
          <w:tcPr>
            <w:tcW w:w="771" w:type="dxa"/>
            <w:vAlign w:val="center"/>
          </w:tcPr>
          <w:p w:rsidR="00012F54" w:rsidRPr="00012F54" w:rsidRDefault="00012F54" w:rsidP="00012F54">
            <w:pPr>
              <w:widowControl w:val="0"/>
              <w:spacing w:after="0" w:line="240" w:lineRule="auto"/>
              <w:jc w:val="center"/>
              <w:rPr>
                <w:rFonts w:ascii="Times New Roman" w:hAnsi="Times New Roman"/>
                <w:bCs/>
                <w:sz w:val="28"/>
                <w:szCs w:val="28"/>
                <w:lang w:val="uk-UA"/>
              </w:rPr>
            </w:pPr>
            <w:r w:rsidRPr="00012F54">
              <w:rPr>
                <w:rFonts w:ascii="Times New Roman" w:hAnsi="Times New Roman"/>
                <w:bCs/>
                <w:sz w:val="28"/>
                <w:szCs w:val="28"/>
                <w:lang w:val="uk-UA"/>
              </w:rPr>
              <w:t>28</w:t>
            </w:r>
          </w:p>
        </w:tc>
        <w:tc>
          <w:tcPr>
            <w:tcW w:w="679" w:type="dxa"/>
            <w:vMerge w:val="restart"/>
            <w:vAlign w:val="center"/>
          </w:tcPr>
          <w:p w:rsidR="00012F54" w:rsidRPr="00012F54" w:rsidRDefault="00012F54" w:rsidP="00012F54">
            <w:pPr>
              <w:widowControl w:val="0"/>
              <w:spacing w:after="0" w:line="240" w:lineRule="auto"/>
              <w:jc w:val="both"/>
              <w:rPr>
                <w:rFonts w:ascii="Times New Roman" w:hAnsi="Times New Roman"/>
                <w:bCs/>
                <w:sz w:val="28"/>
                <w:szCs w:val="28"/>
                <w:lang w:val="uk-UA"/>
              </w:rPr>
            </w:pPr>
            <w:r w:rsidRPr="00012F54">
              <w:rPr>
                <w:rFonts w:ascii="Times New Roman" w:hAnsi="Times New Roman"/>
                <w:bCs/>
                <w:sz w:val="28"/>
                <w:szCs w:val="28"/>
                <w:lang w:val="uk-UA"/>
              </w:rPr>
              <w:t>112</w:t>
            </w:r>
          </w:p>
        </w:tc>
      </w:tr>
      <w:tr w:rsidR="00012F54" w:rsidRPr="00012F54" w:rsidTr="00012F54">
        <w:trPr>
          <w:trHeight w:val="699"/>
          <w:jc w:val="center"/>
        </w:trPr>
        <w:tc>
          <w:tcPr>
            <w:tcW w:w="832" w:type="dxa"/>
            <w:vMerge/>
          </w:tcPr>
          <w:p w:rsidR="00012F54" w:rsidRPr="00012F54" w:rsidRDefault="00012F54" w:rsidP="00012F54">
            <w:pPr>
              <w:widowControl w:val="0"/>
              <w:spacing w:after="0" w:line="360" w:lineRule="auto"/>
              <w:jc w:val="both"/>
              <w:rPr>
                <w:rFonts w:ascii="Times New Roman" w:hAnsi="Times New Roman"/>
                <w:bCs/>
                <w:sz w:val="28"/>
                <w:szCs w:val="28"/>
                <w:lang w:val="uk-UA"/>
              </w:rPr>
            </w:pPr>
          </w:p>
        </w:tc>
        <w:tc>
          <w:tcPr>
            <w:tcW w:w="3767" w:type="dxa"/>
            <w:vMerge/>
          </w:tcPr>
          <w:p w:rsidR="00012F54" w:rsidRPr="00012F54" w:rsidRDefault="00012F54" w:rsidP="00012F54">
            <w:pPr>
              <w:widowControl w:val="0"/>
              <w:spacing w:after="0" w:line="360" w:lineRule="auto"/>
              <w:jc w:val="both"/>
              <w:rPr>
                <w:rFonts w:ascii="Times New Roman" w:hAnsi="Times New Roman"/>
                <w:sz w:val="28"/>
                <w:szCs w:val="28"/>
                <w:lang w:val="uk-UA"/>
              </w:rPr>
            </w:pPr>
          </w:p>
        </w:tc>
        <w:tc>
          <w:tcPr>
            <w:tcW w:w="3664" w:type="dxa"/>
            <w:vAlign w:val="center"/>
          </w:tcPr>
          <w:p w:rsidR="00012F54" w:rsidRPr="00012F54" w:rsidRDefault="00012F54" w:rsidP="00012F54">
            <w:pPr>
              <w:widowControl w:val="0"/>
              <w:spacing w:after="0" w:line="360" w:lineRule="auto"/>
              <w:jc w:val="both"/>
              <w:rPr>
                <w:rFonts w:ascii="Times New Roman" w:hAnsi="Times New Roman"/>
                <w:sz w:val="28"/>
                <w:szCs w:val="28"/>
                <w:lang w:val="uk-UA"/>
              </w:rPr>
            </w:pPr>
            <w:r w:rsidRPr="00012F54">
              <w:rPr>
                <w:rFonts w:ascii="Times New Roman" w:hAnsi="Times New Roman"/>
                <w:sz w:val="28"/>
                <w:szCs w:val="28"/>
                <w:lang w:val="uk-UA"/>
              </w:rPr>
              <w:t>неврологічним дефіцитом</w:t>
            </w:r>
          </w:p>
        </w:tc>
        <w:tc>
          <w:tcPr>
            <w:tcW w:w="771" w:type="dxa"/>
            <w:vAlign w:val="center"/>
          </w:tcPr>
          <w:p w:rsidR="00012F54" w:rsidRPr="00012F54" w:rsidRDefault="00012F54" w:rsidP="00012F54">
            <w:pPr>
              <w:widowControl w:val="0"/>
              <w:spacing w:after="0" w:line="360" w:lineRule="auto"/>
              <w:jc w:val="center"/>
              <w:rPr>
                <w:rFonts w:ascii="Times New Roman" w:hAnsi="Times New Roman"/>
                <w:bCs/>
                <w:sz w:val="28"/>
                <w:szCs w:val="28"/>
                <w:lang w:val="uk-UA"/>
              </w:rPr>
            </w:pPr>
            <w:r w:rsidRPr="00012F54">
              <w:rPr>
                <w:rFonts w:ascii="Times New Roman" w:hAnsi="Times New Roman"/>
                <w:bCs/>
                <w:sz w:val="28"/>
                <w:szCs w:val="28"/>
                <w:lang w:val="uk-UA"/>
              </w:rPr>
              <w:t>28</w:t>
            </w:r>
          </w:p>
        </w:tc>
        <w:tc>
          <w:tcPr>
            <w:tcW w:w="679" w:type="dxa"/>
            <w:vMerge/>
            <w:vAlign w:val="center"/>
          </w:tcPr>
          <w:p w:rsidR="00012F54" w:rsidRPr="00012F54" w:rsidRDefault="00012F54" w:rsidP="00012F54">
            <w:pPr>
              <w:widowControl w:val="0"/>
              <w:spacing w:after="0" w:line="360" w:lineRule="auto"/>
              <w:jc w:val="both"/>
              <w:rPr>
                <w:rFonts w:ascii="Times New Roman" w:hAnsi="Times New Roman"/>
                <w:bCs/>
                <w:sz w:val="28"/>
                <w:szCs w:val="28"/>
                <w:lang w:val="uk-UA"/>
              </w:rPr>
            </w:pPr>
          </w:p>
        </w:tc>
      </w:tr>
      <w:tr w:rsidR="00012F54" w:rsidRPr="00012F54" w:rsidTr="00012F54">
        <w:trPr>
          <w:trHeight w:val="836"/>
          <w:jc w:val="center"/>
        </w:trPr>
        <w:tc>
          <w:tcPr>
            <w:tcW w:w="832" w:type="dxa"/>
            <w:vMerge/>
          </w:tcPr>
          <w:p w:rsidR="00012F54" w:rsidRPr="00012F54" w:rsidRDefault="00012F54" w:rsidP="00012F54">
            <w:pPr>
              <w:widowControl w:val="0"/>
              <w:spacing w:after="0" w:line="360" w:lineRule="auto"/>
              <w:jc w:val="both"/>
              <w:rPr>
                <w:rFonts w:ascii="Times New Roman" w:hAnsi="Times New Roman"/>
                <w:bCs/>
                <w:sz w:val="28"/>
                <w:szCs w:val="28"/>
                <w:lang w:val="uk-UA"/>
              </w:rPr>
            </w:pPr>
          </w:p>
        </w:tc>
        <w:tc>
          <w:tcPr>
            <w:tcW w:w="3767" w:type="dxa"/>
            <w:vMerge/>
          </w:tcPr>
          <w:p w:rsidR="00012F54" w:rsidRPr="00012F54" w:rsidRDefault="00012F54" w:rsidP="00012F54">
            <w:pPr>
              <w:widowControl w:val="0"/>
              <w:spacing w:after="0" w:line="360" w:lineRule="auto"/>
              <w:jc w:val="both"/>
              <w:rPr>
                <w:rFonts w:ascii="Times New Roman" w:hAnsi="Times New Roman"/>
                <w:sz w:val="28"/>
                <w:szCs w:val="28"/>
                <w:lang w:val="uk-UA"/>
              </w:rPr>
            </w:pPr>
          </w:p>
        </w:tc>
        <w:tc>
          <w:tcPr>
            <w:tcW w:w="3664" w:type="dxa"/>
            <w:vAlign w:val="center"/>
          </w:tcPr>
          <w:p w:rsidR="00012F54" w:rsidRPr="00012F54" w:rsidRDefault="00012F54" w:rsidP="00012F54">
            <w:pPr>
              <w:widowControl w:val="0"/>
              <w:spacing w:after="0" w:line="360" w:lineRule="auto"/>
              <w:jc w:val="both"/>
              <w:rPr>
                <w:rFonts w:ascii="Times New Roman" w:hAnsi="Times New Roman"/>
                <w:sz w:val="28"/>
                <w:szCs w:val="28"/>
                <w:lang w:val="uk-UA"/>
              </w:rPr>
            </w:pPr>
            <w:r w:rsidRPr="00012F54">
              <w:rPr>
                <w:rFonts w:ascii="Times New Roman" w:hAnsi="Times New Roman"/>
                <w:sz w:val="28"/>
                <w:szCs w:val="28"/>
                <w:lang w:val="uk-UA"/>
              </w:rPr>
              <w:t>нейромаркерної активності</w:t>
            </w:r>
          </w:p>
        </w:tc>
        <w:tc>
          <w:tcPr>
            <w:tcW w:w="771" w:type="dxa"/>
            <w:vAlign w:val="center"/>
          </w:tcPr>
          <w:p w:rsidR="00012F54" w:rsidRPr="00012F54" w:rsidRDefault="00012F54" w:rsidP="00012F54">
            <w:pPr>
              <w:widowControl w:val="0"/>
              <w:spacing w:after="0" w:line="360" w:lineRule="auto"/>
              <w:jc w:val="center"/>
              <w:rPr>
                <w:rFonts w:ascii="Times New Roman" w:hAnsi="Times New Roman"/>
                <w:bCs/>
                <w:sz w:val="28"/>
                <w:szCs w:val="28"/>
                <w:lang w:val="uk-UA"/>
              </w:rPr>
            </w:pPr>
            <w:r w:rsidRPr="00012F54">
              <w:rPr>
                <w:rFonts w:ascii="Times New Roman" w:hAnsi="Times New Roman"/>
                <w:bCs/>
                <w:sz w:val="28"/>
                <w:szCs w:val="28"/>
                <w:lang w:val="uk-UA"/>
              </w:rPr>
              <w:t>28</w:t>
            </w:r>
          </w:p>
        </w:tc>
        <w:tc>
          <w:tcPr>
            <w:tcW w:w="679" w:type="dxa"/>
            <w:vMerge/>
            <w:vAlign w:val="center"/>
          </w:tcPr>
          <w:p w:rsidR="00012F54" w:rsidRPr="00012F54" w:rsidRDefault="00012F54" w:rsidP="00012F54">
            <w:pPr>
              <w:widowControl w:val="0"/>
              <w:spacing w:after="0" w:line="360" w:lineRule="auto"/>
              <w:jc w:val="both"/>
              <w:rPr>
                <w:rFonts w:ascii="Times New Roman" w:hAnsi="Times New Roman"/>
                <w:bCs/>
                <w:sz w:val="28"/>
                <w:szCs w:val="28"/>
                <w:lang w:val="uk-UA"/>
              </w:rPr>
            </w:pPr>
          </w:p>
        </w:tc>
      </w:tr>
      <w:tr w:rsidR="00012F54" w:rsidRPr="00012F54" w:rsidTr="00012F54">
        <w:trPr>
          <w:trHeight w:val="551"/>
          <w:jc w:val="center"/>
        </w:trPr>
        <w:tc>
          <w:tcPr>
            <w:tcW w:w="832" w:type="dxa"/>
            <w:vMerge/>
          </w:tcPr>
          <w:p w:rsidR="00012F54" w:rsidRPr="00012F54" w:rsidRDefault="00012F54" w:rsidP="00012F54">
            <w:pPr>
              <w:widowControl w:val="0"/>
              <w:spacing w:after="0" w:line="360" w:lineRule="auto"/>
              <w:jc w:val="both"/>
              <w:rPr>
                <w:rFonts w:ascii="Times New Roman" w:hAnsi="Times New Roman"/>
                <w:bCs/>
                <w:sz w:val="28"/>
                <w:szCs w:val="28"/>
                <w:lang w:val="uk-UA"/>
              </w:rPr>
            </w:pPr>
          </w:p>
        </w:tc>
        <w:tc>
          <w:tcPr>
            <w:tcW w:w="3767" w:type="dxa"/>
            <w:vMerge/>
          </w:tcPr>
          <w:p w:rsidR="00012F54" w:rsidRPr="00012F54" w:rsidRDefault="00012F54" w:rsidP="00012F54">
            <w:pPr>
              <w:widowControl w:val="0"/>
              <w:spacing w:after="0" w:line="360" w:lineRule="auto"/>
              <w:jc w:val="both"/>
              <w:rPr>
                <w:rFonts w:ascii="Times New Roman" w:hAnsi="Times New Roman"/>
                <w:sz w:val="28"/>
                <w:szCs w:val="28"/>
                <w:lang w:val="uk-UA"/>
              </w:rPr>
            </w:pPr>
          </w:p>
        </w:tc>
        <w:tc>
          <w:tcPr>
            <w:tcW w:w="3664" w:type="dxa"/>
            <w:vAlign w:val="center"/>
          </w:tcPr>
          <w:p w:rsidR="00012F54" w:rsidRPr="00012F54" w:rsidRDefault="00012F54" w:rsidP="00012F54">
            <w:pPr>
              <w:widowControl w:val="0"/>
              <w:spacing w:after="0" w:line="360" w:lineRule="auto"/>
              <w:jc w:val="both"/>
              <w:rPr>
                <w:rFonts w:ascii="Times New Roman" w:hAnsi="Times New Roman"/>
                <w:sz w:val="28"/>
                <w:szCs w:val="28"/>
                <w:lang w:val="uk-UA"/>
              </w:rPr>
            </w:pPr>
            <w:r w:rsidRPr="00012F54">
              <w:rPr>
                <w:rFonts w:ascii="Times New Roman" w:hAnsi="Times New Roman"/>
                <w:sz w:val="28"/>
                <w:szCs w:val="28"/>
                <w:lang w:val="uk-UA"/>
              </w:rPr>
              <w:t>внутрішньочерепного тиску</w:t>
            </w:r>
          </w:p>
        </w:tc>
        <w:tc>
          <w:tcPr>
            <w:tcW w:w="771" w:type="dxa"/>
            <w:vAlign w:val="center"/>
          </w:tcPr>
          <w:p w:rsidR="00012F54" w:rsidRPr="00012F54" w:rsidRDefault="00012F54" w:rsidP="00012F54">
            <w:pPr>
              <w:widowControl w:val="0"/>
              <w:spacing w:after="0" w:line="360" w:lineRule="auto"/>
              <w:jc w:val="center"/>
              <w:rPr>
                <w:rFonts w:ascii="Times New Roman" w:hAnsi="Times New Roman"/>
                <w:bCs/>
                <w:sz w:val="28"/>
                <w:szCs w:val="28"/>
                <w:lang w:val="uk-UA"/>
              </w:rPr>
            </w:pPr>
            <w:r w:rsidRPr="00012F54">
              <w:rPr>
                <w:rFonts w:ascii="Times New Roman" w:hAnsi="Times New Roman"/>
                <w:bCs/>
                <w:sz w:val="28"/>
                <w:szCs w:val="28"/>
                <w:lang w:val="uk-UA"/>
              </w:rPr>
              <w:t>28</w:t>
            </w:r>
          </w:p>
        </w:tc>
        <w:tc>
          <w:tcPr>
            <w:tcW w:w="679" w:type="dxa"/>
            <w:vMerge/>
            <w:vAlign w:val="center"/>
          </w:tcPr>
          <w:p w:rsidR="00012F54" w:rsidRPr="00012F54" w:rsidRDefault="00012F54" w:rsidP="00012F54">
            <w:pPr>
              <w:widowControl w:val="0"/>
              <w:spacing w:after="0" w:line="360" w:lineRule="auto"/>
              <w:jc w:val="both"/>
              <w:rPr>
                <w:rFonts w:ascii="Times New Roman" w:hAnsi="Times New Roman"/>
                <w:bCs/>
                <w:sz w:val="28"/>
                <w:szCs w:val="28"/>
                <w:lang w:val="uk-UA"/>
              </w:rPr>
            </w:pPr>
          </w:p>
        </w:tc>
      </w:tr>
      <w:tr w:rsidR="00012F54" w:rsidRPr="00012F54" w:rsidTr="00012F54">
        <w:trPr>
          <w:trHeight w:val="1318"/>
          <w:jc w:val="center"/>
        </w:trPr>
        <w:tc>
          <w:tcPr>
            <w:tcW w:w="832" w:type="dxa"/>
            <w:vMerge w:val="restart"/>
            <w:vAlign w:val="center"/>
          </w:tcPr>
          <w:p w:rsidR="00012F54" w:rsidRPr="00012F54" w:rsidRDefault="00012F54" w:rsidP="00012F54">
            <w:pPr>
              <w:widowControl w:val="0"/>
              <w:spacing w:after="0" w:line="240" w:lineRule="auto"/>
              <w:jc w:val="right"/>
              <w:rPr>
                <w:rFonts w:ascii="Times New Roman" w:hAnsi="Times New Roman"/>
                <w:bCs/>
                <w:sz w:val="28"/>
                <w:szCs w:val="28"/>
                <w:lang w:val="uk-UA"/>
              </w:rPr>
            </w:pPr>
            <w:r w:rsidRPr="00012F54">
              <w:rPr>
                <w:rFonts w:ascii="Times New Roman" w:hAnsi="Times New Roman"/>
                <w:bCs/>
                <w:sz w:val="28"/>
                <w:szCs w:val="28"/>
                <w:lang w:val="uk-UA"/>
              </w:rPr>
              <w:t>2</w:t>
            </w:r>
          </w:p>
        </w:tc>
        <w:tc>
          <w:tcPr>
            <w:tcW w:w="3767" w:type="dxa"/>
            <w:vMerge w:val="restart"/>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 xml:space="preserve">Оцінка нейропротекторної активності адемолу, німодипіну, амантадину та магнію сульфату за: </w:t>
            </w:r>
          </w:p>
        </w:tc>
        <w:tc>
          <w:tcPr>
            <w:tcW w:w="3664" w:type="dxa"/>
            <w:vAlign w:val="center"/>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динамікою летальності щурів із модельним субарахноїдальним крововиливом</w:t>
            </w:r>
          </w:p>
        </w:tc>
        <w:tc>
          <w:tcPr>
            <w:tcW w:w="771" w:type="dxa"/>
            <w:vAlign w:val="center"/>
          </w:tcPr>
          <w:p w:rsidR="00012F54" w:rsidRPr="00012F54" w:rsidRDefault="00012F54" w:rsidP="00012F54">
            <w:pPr>
              <w:widowControl w:val="0"/>
              <w:spacing w:after="0" w:line="240" w:lineRule="auto"/>
              <w:jc w:val="center"/>
              <w:rPr>
                <w:rFonts w:ascii="Times New Roman" w:hAnsi="Times New Roman"/>
                <w:bCs/>
                <w:sz w:val="28"/>
                <w:szCs w:val="28"/>
                <w:lang w:val="uk-UA"/>
              </w:rPr>
            </w:pPr>
            <w:r w:rsidRPr="00012F54">
              <w:rPr>
                <w:rFonts w:ascii="Times New Roman" w:hAnsi="Times New Roman"/>
                <w:bCs/>
                <w:sz w:val="28"/>
                <w:szCs w:val="28"/>
                <w:lang w:val="uk-UA"/>
              </w:rPr>
              <w:t>120</w:t>
            </w:r>
          </w:p>
        </w:tc>
        <w:tc>
          <w:tcPr>
            <w:tcW w:w="679" w:type="dxa"/>
            <w:vMerge w:val="restart"/>
            <w:vAlign w:val="center"/>
          </w:tcPr>
          <w:p w:rsidR="00012F54" w:rsidRPr="00012F54" w:rsidRDefault="00012F54" w:rsidP="00012F54">
            <w:pPr>
              <w:widowControl w:val="0"/>
              <w:spacing w:after="0" w:line="240" w:lineRule="auto"/>
              <w:jc w:val="both"/>
              <w:rPr>
                <w:rFonts w:ascii="Times New Roman" w:hAnsi="Times New Roman"/>
                <w:bCs/>
                <w:sz w:val="28"/>
                <w:szCs w:val="28"/>
                <w:lang w:val="uk-UA"/>
              </w:rPr>
            </w:pPr>
            <w:r w:rsidRPr="00012F54">
              <w:rPr>
                <w:rFonts w:ascii="Times New Roman" w:hAnsi="Times New Roman"/>
                <w:bCs/>
                <w:sz w:val="28"/>
                <w:szCs w:val="28"/>
                <w:lang w:val="uk-UA"/>
              </w:rPr>
              <w:t>162</w:t>
            </w:r>
          </w:p>
        </w:tc>
      </w:tr>
      <w:tr w:rsidR="00012F54" w:rsidRPr="00012F54" w:rsidTr="00012F54">
        <w:trPr>
          <w:trHeight w:val="292"/>
          <w:jc w:val="center"/>
        </w:trPr>
        <w:tc>
          <w:tcPr>
            <w:tcW w:w="832" w:type="dxa"/>
            <w:vMerge/>
          </w:tcPr>
          <w:p w:rsidR="00012F54" w:rsidRPr="00012F54" w:rsidRDefault="00012F54" w:rsidP="00012F54">
            <w:pPr>
              <w:widowControl w:val="0"/>
              <w:spacing w:after="0" w:line="240" w:lineRule="auto"/>
              <w:jc w:val="right"/>
              <w:rPr>
                <w:rFonts w:ascii="Times New Roman" w:hAnsi="Times New Roman"/>
                <w:bCs/>
                <w:sz w:val="28"/>
                <w:szCs w:val="28"/>
                <w:lang w:val="uk-UA"/>
              </w:rPr>
            </w:pPr>
          </w:p>
        </w:tc>
        <w:tc>
          <w:tcPr>
            <w:tcW w:w="3767" w:type="dxa"/>
            <w:vMerge/>
          </w:tcPr>
          <w:p w:rsidR="00012F54" w:rsidRPr="00012F54" w:rsidRDefault="00012F54" w:rsidP="00012F54">
            <w:pPr>
              <w:widowControl w:val="0"/>
              <w:spacing w:after="0" w:line="240" w:lineRule="auto"/>
              <w:jc w:val="both"/>
              <w:rPr>
                <w:rFonts w:ascii="Times New Roman" w:hAnsi="Times New Roman"/>
                <w:sz w:val="28"/>
                <w:szCs w:val="28"/>
                <w:lang w:val="uk-UA"/>
              </w:rPr>
            </w:pPr>
          </w:p>
        </w:tc>
        <w:tc>
          <w:tcPr>
            <w:tcW w:w="3664" w:type="dxa"/>
            <w:vAlign w:val="center"/>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неврологічний дефіцит</w:t>
            </w:r>
          </w:p>
        </w:tc>
        <w:tc>
          <w:tcPr>
            <w:tcW w:w="771" w:type="dxa"/>
            <w:vAlign w:val="center"/>
          </w:tcPr>
          <w:p w:rsidR="00012F54" w:rsidRPr="00012F54" w:rsidRDefault="00012F54" w:rsidP="00012F54">
            <w:pPr>
              <w:widowControl w:val="0"/>
              <w:spacing w:after="0" w:line="240" w:lineRule="auto"/>
              <w:jc w:val="center"/>
              <w:rPr>
                <w:rFonts w:ascii="Times New Roman" w:hAnsi="Times New Roman"/>
                <w:bCs/>
                <w:sz w:val="28"/>
                <w:szCs w:val="28"/>
                <w:lang w:val="uk-UA"/>
              </w:rPr>
            </w:pPr>
            <w:r w:rsidRPr="00012F54">
              <w:rPr>
                <w:rFonts w:ascii="Times New Roman" w:hAnsi="Times New Roman"/>
                <w:bCs/>
                <w:sz w:val="28"/>
                <w:szCs w:val="28"/>
                <w:lang w:val="uk-UA"/>
              </w:rPr>
              <w:t>42</w:t>
            </w:r>
          </w:p>
        </w:tc>
        <w:tc>
          <w:tcPr>
            <w:tcW w:w="679" w:type="dxa"/>
            <w:vMerge/>
            <w:vAlign w:val="center"/>
          </w:tcPr>
          <w:p w:rsidR="00012F54" w:rsidRPr="00012F54" w:rsidRDefault="00012F54" w:rsidP="00012F54">
            <w:pPr>
              <w:widowControl w:val="0"/>
              <w:spacing w:after="0" w:line="240" w:lineRule="auto"/>
              <w:jc w:val="both"/>
              <w:rPr>
                <w:rFonts w:ascii="Times New Roman" w:hAnsi="Times New Roman"/>
                <w:bCs/>
                <w:sz w:val="28"/>
                <w:szCs w:val="28"/>
                <w:lang w:val="uk-UA"/>
              </w:rPr>
            </w:pPr>
          </w:p>
        </w:tc>
      </w:tr>
      <w:tr w:rsidR="00012F54" w:rsidRPr="00012F54" w:rsidTr="00012F54">
        <w:trPr>
          <w:trHeight w:val="184"/>
          <w:jc w:val="center"/>
        </w:trPr>
        <w:tc>
          <w:tcPr>
            <w:tcW w:w="832" w:type="dxa"/>
            <w:vMerge w:val="restart"/>
            <w:vAlign w:val="center"/>
          </w:tcPr>
          <w:p w:rsidR="00012F54" w:rsidRPr="00012F54" w:rsidRDefault="00012F54" w:rsidP="00012F54">
            <w:pPr>
              <w:widowControl w:val="0"/>
              <w:spacing w:after="0" w:line="240" w:lineRule="auto"/>
              <w:jc w:val="right"/>
              <w:rPr>
                <w:rFonts w:ascii="Times New Roman" w:hAnsi="Times New Roman"/>
                <w:bCs/>
                <w:sz w:val="28"/>
                <w:szCs w:val="28"/>
                <w:lang w:val="uk-UA"/>
              </w:rPr>
            </w:pPr>
            <w:r w:rsidRPr="00012F54">
              <w:rPr>
                <w:rFonts w:ascii="Times New Roman" w:hAnsi="Times New Roman"/>
                <w:bCs/>
                <w:sz w:val="28"/>
                <w:szCs w:val="28"/>
                <w:lang w:val="uk-UA"/>
              </w:rPr>
              <w:t>3</w:t>
            </w:r>
          </w:p>
        </w:tc>
        <w:tc>
          <w:tcPr>
            <w:tcW w:w="3767" w:type="dxa"/>
            <w:vMerge w:val="restart"/>
            <w:vAlign w:val="center"/>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Оцінка функціональних параметрів:</w:t>
            </w:r>
          </w:p>
        </w:tc>
        <w:tc>
          <w:tcPr>
            <w:tcW w:w="3664" w:type="dxa"/>
            <w:vAlign w:val="center"/>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мозковий кровоплин (об’ємно)</w:t>
            </w:r>
          </w:p>
        </w:tc>
        <w:tc>
          <w:tcPr>
            <w:tcW w:w="771" w:type="dxa"/>
            <w:vMerge w:val="restart"/>
            <w:vAlign w:val="center"/>
          </w:tcPr>
          <w:p w:rsidR="00012F54" w:rsidRPr="00012F54" w:rsidRDefault="00012F54" w:rsidP="00012F54">
            <w:pPr>
              <w:widowControl w:val="0"/>
              <w:spacing w:after="0" w:line="240" w:lineRule="auto"/>
              <w:jc w:val="center"/>
              <w:rPr>
                <w:rFonts w:ascii="Times New Roman" w:hAnsi="Times New Roman"/>
                <w:bCs/>
                <w:sz w:val="28"/>
                <w:szCs w:val="28"/>
                <w:lang w:val="uk-UA"/>
              </w:rPr>
            </w:pPr>
            <w:r w:rsidRPr="00012F54">
              <w:rPr>
                <w:rFonts w:ascii="Times New Roman" w:hAnsi="Times New Roman"/>
                <w:bCs/>
                <w:sz w:val="28"/>
                <w:szCs w:val="28"/>
                <w:lang w:val="uk-UA"/>
              </w:rPr>
              <w:t>21</w:t>
            </w:r>
          </w:p>
        </w:tc>
        <w:tc>
          <w:tcPr>
            <w:tcW w:w="679" w:type="dxa"/>
            <w:vMerge w:val="restart"/>
            <w:vAlign w:val="center"/>
          </w:tcPr>
          <w:p w:rsidR="00012F54" w:rsidRPr="00012F54" w:rsidRDefault="00012F54" w:rsidP="00012F54">
            <w:pPr>
              <w:widowControl w:val="0"/>
              <w:spacing w:after="0" w:line="240" w:lineRule="auto"/>
              <w:jc w:val="both"/>
              <w:rPr>
                <w:rFonts w:ascii="Times New Roman" w:hAnsi="Times New Roman"/>
                <w:bCs/>
                <w:sz w:val="28"/>
                <w:szCs w:val="28"/>
                <w:lang w:val="uk-UA"/>
              </w:rPr>
            </w:pPr>
            <w:r w:rsidRPr="00012F54">
              <w:rPr>
                <w:rFonts w:ascii="Times New Roman" w:hAnsi="Times New Roman"/>
                <w:bCs/>
                <w:sz w:val="28"/>
                <w:szCs w:val="28"/>
                <w:lang w:val="uk-UA"/>
              </w:rPr>
              <w:t>63</w:t>
            </w:r>
          </w:p>
        </w:tc>
      </w:tr>
      <w:tr w:rsidR="00012F54" w:rsidRPr="00012F54" w:rsidTr="00012F54">
        <w:trPr>
          <w:trHeight w:val="184"/>
          <w:jc w:val="center"/>
        </w:trPr>
        <w:tc>
          <w:tcPr>
            <w:tcW w:w="832" w:type="dxa"/>
            <w:vMerge/>
          </w:tcPr>
          <w:p w:rsidR="00012F54" w:rsidRPr="00012F54" w:rsidRDefault="00012F54" w:rsidP="00012F54">
            <w:pPr>
              <w:widowControl w:val="0"/>
              <w:spacing w:after="0" w:line="240" w:lineRule="auto"/>
              <w:jc w:val="right"/>
              <w:rPr>
                <w:rFonts w:ascii="Times New Roman" w:hAnsi="Times New Roman"/>
                <w:bCs/>
                <w:sz w:val="28"/>
                <w:szCs w:val="28"/>
                <w:lang w:val="uk-UA"/>
              </w:rPr>
            </w:pPr>
          </w:p>
        </w:tc>
        <w:tc>
          <w:tcPr>
            <w:tcW w:w="3767" w:type="dxa"/>
            <w:vMerge/>
          </w:tcPr>
          <w:p w:rsidR="00012F54" w:rsidRPr="00012F54" w:rsidRDefault="00012F54" w:rsidP="00012F54">
            <w:pPr>
              <w:widowControl w:val="0"/>
              <w:spacing w:after="0" w:line="240" w:lineRule="auto"/>
              <w:jc w:val="both"/>
              <w:rPr>
                <w:rFonts w:ascii="Times New Roman" w:hAnsi="Times New Roman"/>
                <w:sz w:val="28"/>
                <w:szCs w:val="28"/>
                <w:lang w:val="uk-UA"/>
              </w:rPr>
            </w:pPr>
          </w:p>
        </w:tc>
        <w:tc>
          <w:tcPr>
            <w:tcW w:w="3664" w:type="dxa"/>
            <w:vAlign w:val="center"/>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мікроциркуляція в корі мозку</w:t>
            </w:r>
          </w:p>
        </w:tc>
        <w:tc>
          <w:tcPr>
            <w:tcW w:w="771" w:type="dxa"/>
            <w:vMerge/>
            <w:vAlign w:val="center"/>
          </w:tcPr>
          <w:p w:rsidR="00012F54" w:rsidRPr="00012F54" w:rsidRDefault="00012F54" w:rsidP="00012F54">
            <w:pPr>
              <w:widowControl w:val="0"/>
              <w:spacing w:after="0" w:line="240" w:lineRule="auto"/>
              <w:jc w:val="center"/>
              <w:rPr>
                <w:rFonts w:ascii="Times New Roman" w:hAnsi="Times New Roman"/>
                <w:bCs/>
                <w:sz w:val="28"/>
                <w:szCs w:val="28"/>
                <w:lang w:val="uk-UA"/>
              </w:rPr>
            </w:pPr>
          </w:p>
        </w:tc>
        <w:tc>
          <w:tcPr>
            <w:tcW w:w="679" w:type="dxa"/>
            <w:vMerge/>
            <w:vAlign w:val="center"/>
          </w:tcPr>
          <w:p w:rsidR="00012F54" w:rsidRPr="00012F54" w:rsidRDefault="00012F54" w:rsidP="00012F54">
            <w:pPr>
              <w:widowControl w:val="0"/>
              <w:spacing w:after="0" w:line="240" w:lineRule="auto"/>
              <w:jc w:val="both"/>
              <w:rPr>
                <w:rFonts w:ascii="Times New Roman" w:hAnsi="Times New Roman"/>
                <w:bCs/>
                <w:sz w:val="28"/>
                <w:szCs w:val="28"/>
                <w:lang w:val="uk-UA"/>
              </w:rPr>
            </w:pPr>
          </w:p>
        </w:tc>
      </w:tr>
      <w:tr w:rsidR="00012F54" w:rsidRPr="00012F54" w:rsidTr="00012F54">
        <w:trPr>
          <w:trHeight w:val="399"/>
          <w:jc w:val="center"/>
        </w:trPr>
        <w:tc>
          <w:tcPr>
            <w:tcW w:w="832" w:type="dxa"/>
            <w:vMerge/>
          </w:tcPr>
          <w:p w:rsidR="00012F54" w:rsidRPr="00012F54" w:rsidRDefault="00012F54" w:rsidP="00012F54">
            <w:pPr>
              <w:widowControl w:val="0"/>
              <w:spacing w:after="0" w:line="240" w:lineRule="auto"/>
              <w:jc w:val="right"/>
              <w:rPr>
                <w:rFonts w:ascii="Times New Roman" w:hAnsi="Times New Roman"/>
                <w:bCs/>
                <w:sz w:val="28"/>
                <w:szCs w:val="28"/>
                <w:lang w:val="uk-UA"/>
              </w:rPr>
            </w:pPr>
          </w:p>
        </w:tc>
        <w:tc>
          <w:tcPr>
            <w:tcW w:w="3767" w:type="dxa"/>
            <w:vMerge/>
          </w:tcPr>
          <w:p w:rsidR="00012F54" w:rsidRPr="00012F54" w:rsidRDefault="00012F54" w:rsidP="00012F54">
            <w:pPr>
              <w:widowControl w:val="0"/>
              <w:spacing w:after="0" w:line="240" w:lineRule="auto"/>
              <w:jc w:val="both"/>
              <w:rPr>
                <w:rFonts w:ascii="Times New Roman" w:hAnsi="Times New Roman"/>
                <w:sz w:val="28"/>
                <w:szCs w:val="28"/>
                <w:lang w:val="uk-UA"/>
              </w:rPr>
            </w:pPr>
          </w:p>
        </w:tc>
        <w:tc>
          <w:tcPr>
            <w:tcW w:w="3664" w:type="dxa"/>
            <w:vAlign w:val="center"/>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артеріальний тиск</w:t>
            </w:r>
          </w:p>
        </w:tc>
        <w:tc>
          <w:tcPr>
            <w:tcW w:w="771" w:type="dxa"/>
            <w:vMerge/>
            <w:vAlign w:val="center"/>
          </w:tcPr>
          <w:p w:rsidR="00012F54" w:rsidRPr="00012F54" w:rsidRDefault="00012F54" w:rsidP="00012F54">
            <w:pPr>
              <w:widowControl w:val="0"/>
              <w:spacing w:after="0" w:line="240" w:lineRule="auto"/>
              <w:jc w:val="center"/>
              <w:rPr>
                <w:rFonts w:ascii="Times New Roman" w:hAnsi="Times New Roman"/>
                <w:bCs/>
                <w:sz w:val="28"/>
                <w:szCs w:val="28"/>
                <w:lang w:val="uk-UA"/>
              </w:rPr>
            </w:pPr>
          </w:p>
        </w:tc>
        <w:tc>
          <w:tcPr>
            <w:tcW w:w="679" w:type="dxa"/>
            <w:vMerge/>
            <w:vAlign w:val="center"/>
          </w:tcPr>
          <w:p w:rsidR="00012F54" w:rsidRPr="00012F54" w:rsidRDefault="00012F54" w:rsidP="00012F54">
            <w:pPr>
              <w:widowControl w:val="0"/>
              <w:spacing w:after="0" w:line="240" w:lineRule="auto"/>
              <w:jc w:val="both"/>
              <w:rPr>
                <w:rFonts w:ascii="Times New Roman" w:hAnsi="Times New Roman"/>
                <w:bCs/>
                <w:sz w:val="28"/>
                <w:szCs w:val="28"/>
                <w:lang w:val="uk-UA"/>
              </w:rPr>
            </w:pPr>
          </w:p>
        </w:tc>
      </w:tr>
      <w:tr w:rsidR="00012F54" w:rsidRPr="00012F54" w:rsidTr="00012F54">
        <w:trPr>
          <w:trHeight w:val="405"/>
          <w:jc w:val="center"/>
        </w:trPr>
        <w:tc>
          <w:tcPr>
            <w:tcW w:w="832" w:type="dxa"/>
            <w:vMerge/>
          </w:tcPr>
          <w:p w:rsidR="00012F54" w:rsidRPr="00012F54" w:rsidRDefault="00012F54" w:rsidP="00012F54">
            <w:pPr>
              <w:widowControl w:val="0"/>
              <w:spacing w:after="0" w:line="240" w:lineRule="auto"/>
              <w:jc w:val="right"/>
              <w:rPr>
                <w:rFonts w:ascii="Times New Roman" w:hAnsi="Times New Roman"/>
                <w:bCs/>
                <w:sz w:val="28"/>
                <w:szCs w:val="28"/>
                <w:lang w:val="uk-UA"/>
              </w:rPr>
            </w:pPr>
          </w:p>
        </w:tc>
        <w:tc>
          <w:tcPr>
            <w:tcW w:w="3767" w:type="dxa"/>
            <w:vMerge/>
          </w:tcPr>
          <w:p w:rsidR="00012F54" w:rsidRPr="00012F54" w:rsidRDefault="00012F54" w:rsidP="00012F54">
            <w:pPr>
              <w:widowControl w:val="0"/>
              <w:spacing w:after="0" w:line="240" w:lineRule="auto"/>
              <w:jc w:val="both"/>
              <w:rPr>
                <w:rFonts w:ascii="Times New Roman" w:hAnsi="Times New Roman"/>
                <w:sz w:val="28"/>
                <w:szCs w:val="28"/>
                <w:lang w:val="uk-UA"/>
              </w:rPr>
            </w:pPr>
          </w:p>
        </w:tc>
        <w:tc>
          <w:tcPr>
            <w:tcW w:w="3664" w:type="dxa"/>
            <w:vAlign w:val="center"/>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центральний венозний тиск</w:t>
            </w:r>
          </w:p>
        </w:tc>
        <w:tc>
          <w:tcPr>
            <w:tcW w:w="771" w:type="dxa"/>
            <w:vMerge/>
            <w:vAlign w:val="center"/>
          </w:tcPr>
          <w:p w:rsidR="00012F54" w:rsidRPr="00012F54" w:rsidRDefault="00012F54" w:rsidP="00012F54">
            <w:pPr>
              <w:widowControl w:val="0"/>
              <w:spacing w:after="0" w:line="240" w:lineRule="auto"/>
              <w:jc w:val="center"/>
              <w:rPr>
                <w:rFonts w:ascii="Times New Roman" w:hAnsi="Times New Roman"/>
                <w:bCs/>
                <w:sz w:val="28"/>
                <w:szCs w:val="28"/>
                <w:lang w:val="uk-UA"/>
              </w:rPr>
            </w:pPr>
          </w:p>
        </w:tc>
        <w:tc>
          <w:tcPr>
            <w:tcW w:w="679" w:type="dxa"/>
            <w:vMerge/>
            <w:vAlign w:val="center"/>
          </w:tcPr>
          <w:p w:rsidR="00012F54" w:rsidRPr="00012F54" w:rsidRDefault="00012F54" w:rsidP="00012F54">
            <w:pPr>
              <w:widowControl w:val="0"/>
              <w:spacing w:after="0" w:line="240" w:lineRule="auto"/>
              <w:jc w:val="both"/>
              <w:rPr>
                <w:rFonts w:ascii="Times New Roman" w:hAnsi="Times New Roman"/>
                <w:bCs/>
                <w:sz w:val="28"/>
                <w:szCs w:val="28"/>
                <w:lang w:val="uk-UA"/>
              </w:rPr>
            </w:pPr>
          </w:p>
        </w:tc>
      </w:tr>
      <w:tr w:rsidR="00012F54" w:rsidRPr="00012F54" w:rsidTr="00012F54">
        <w:trPr>
          <w:trHeight w:val="426"/>
          <w:jc w:val="center"/>
        </w:trPr>
        <w:tc>
          <w:tcPr>
            <w:tcW w:w="832" w:type="dxa"/>
            <w:vMerge/>
          </w:tcPr>
          <w:p w:rsidR="00012F54" w:rsidRPr="00012F54" w:rsidRDefault="00012F54" w:rsidP="00012F54">
            <w:pPr>
              <w:widowControl w:val="0"/>
              <w:spacing w:after="0" w:line="240" w:lineRule="auto"/>
              <w:jc w:val="right"/>
              <w:rPr>
                <w:rFonts w:ascii="Times New Roman" w:hAnsi="Times New Roman"/>
                <w:bCs/>
                <w:sz w:val="28"/>
                <w:szCs w:val="28"/>
                <w:lang w:val="uk-UA"/>
              </w:rPr>
            </w:pPr>
          </w:p>
        </w:tc>
        <w:tc>
          <w:tcPr>
            <w:tcW w:w="3767" w:type="dxa"/>
            <w:vMerge/>
          </w:tcPr>
          <w:p w:rsidR="00012F54" w:rsidRPr="00012F54" w:rsidRDefault="00012F54" w:rsidP="00012F54">
            <w:pPr>
              <w:widowControl w:val="0"/>
              <w:spacing w:after="0" w:line="240" w:lineRule="auto"/>
              <w:jc w:val="both"/>
              <w:rPr>
                <w:rFonts w:ascii="Times New Roman" w:hAnsi="Times New Roman"/>
                <w:sz w:val="28"/>
                <w:szCs w:val="28"/>
                <w:lang w:val="uk-UA"/>
              </w:rPr>
            </w:pPr>
          </w:p>
        </w:tc>
        <w:tc>
          <w:tcPr>
            <w:tcW w:w="3664" w:type="dxa"/>
            <w:vAlign w:val="center"/>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насичення крові киснем</w:t>
            </w:r>
          </w:p>
        </w:tc>
        <w:tc>
          <w:tcPr>
            <w:tcW w:w="771" w:type="dxa"/>
            <w:vMerge/>
            <w:vAlign w:val="center"/>
          </w:tcPr>
          <w:p w:rsidR="00012F54" w:rsidRPr="00012F54" w:rsidRDefault="00012F54" w:rsidP="00012F54">
            <w:pPr>
              <w:widowControl w:val="0"/>
              <w:spacing w:after="0" w:line="240" w:lineRule="auto"/>
              <w:jc w:val="center"/>
              <w:rPr>
                <w:rFonts w:ascii="Times New Roman" w:hAnsi="Times New Roman"/>
                <w:bCs/>
                <w:sz w:val="28"/>
                <w:szCs w:val="28"/>
                <w:lang w:val="uk-UA"/>
              </w:rPr>
            </w:pPr>
          </w:p>
        </w:tc>
        <w:tc>
          <w:tcPr>
            <w:tcW w:w="679" w:type="dxa"/>
            <w:vMerge/>
            <w:vAlign w:val="center"/>
          </w:tcPr>
          <w:p w:rsidR="00012F54" w:rsidRPr="00012F54" w:rsidRDefault="00012F54" w:rsidP="00012F54">
            <w:pPr>
              <w:widowControl w:val="0"/>
              <w:spacing w:after="0" w:line="240" w:lineRule="auto"/>
              <w:jc w:val="both"/>
              <w:rPr>
                <w:rFonts w:ascii="Times New Roman" w:hAnsi="Times New Roman"/>
                <w:bCs/>
                <w:sz w:val="28"/>
                <w:szCs w:val="28"/>
                <w:lang w:val="uk-UA"/>
              </w:rPr>
            </w:pPr>
          </w:p>
        </w:tc>
      </w:tr>
      <w:tr w:rsidR="00012F54" w:rsidRPr="00012F54" w:rsidTr="00012F54">
        <w:trPr>
          <w:trHeight w:val="404"/>
          <w:jc w:val="center"/>
        </w:trPr>
        <w:tc>
          <w:tcPr>
            <w:tcW w:w="832" w:type="dxa"/>
            <w:vMerge/>
          </w:tcPr>
          <w:p w:rsidR="00012F54" w:rsidRPr="00012F54" w:rsidRDefault="00012F54" w:rsidP="00012F54">
            <w:pPr>
              <w:widowControl w:val="0"/>
              <w:spacing w:after="0" w:line="240" w:lineRule="auto"/>
              <w:jc w:val="right"/>
              <w:rPr>
                <w:rFonts w:ascii="Times New Roman" w:hAnsi="Times New Roman"/>
                <w:bCs/>
                <w:sz w:val="28"/>
                <w:szCs w:val="28"/>
                <w:lang w:val="uk-UA"/>
              </w:rPr>
            </w:pPr>
          </w:p>
        </w:tc>
        <w:tc>
          <w:tcPr>
            <w:tcW w:w="3767" w:type="dxa"/>
            <w:vMerge/>
          </w:tcPr>
          <w:p w:rsidR="00012F54" w:rsidRPr="00012F54" w:rsidRDefault="00012F54" w:rsidP="00012F54">
            <w:pPr>
              <w:widowControl w:val="0"/>
              <w:spacing w:after="0" w:line="240" w:lineRule="auto"/>
              <w:jc w:val="both"/>
              <w:rPr>
                <w:rFonts w:ascii="Times New Roman" w:hAnsi="Times New Roman"/>
                <w:sz w:val="28"/>
                <w:szCs w:val="28"/>
                <w:lang w:val="uk-UA"/>
              </w:rPr>
            </w:pPr>
          </w:p>
        </w:tc>
        <w:tc>
          <w:tcPr>
            <w:tcW w:w="3664" w:type="dxa"/>
            <w:vAlign w:val="center"/>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внутрішньочерепний тиск</w:t>
            </w:r>
          </w:p>
        </w:tc>
        <w:tc>
          <w:tcPr>
            <w:tcW w:w="771" w:type="dxa"/>
            <w:vAlign w:val="center"/>
          </w:tcPr>
          <w:p w:rsidR="00012F54" w:rsidRPr="00012F54" w:rsidRDefault="00012F54" w:rsidP="00012F54">
            <w:pPr>
              <w:widowControl w:val="0"/>
              <w:spacing w:after="0" w:line="240" w:lineRule="auto"/>
              <w:jc w:val="center"/>
              <w:rPr>
                <w:rFonts w:ascii="Times New Roman" w:hAnsi="Times New Roman"/>
                <w:bCs/>
                <w:sz w:val="28"/>
                <w:szCs w:val="28"/>
                <w:lang w:val="uk-UA"/>
              </w:rPr>
            </w:pPr>
            <w:r w:rsidRPr="00012F54">
              <w:rPr>
                <w:rFonts w:ascii="Times New Roman" w:hAnsi="Times New Roman"/>
                <w:bCs/>
                <w:sz w:val="28"/>
                <w:szCs w:val="28"/>
                <w:lang w:val="uk-UA"/>
              </w:rPr>
              <w:t>42</w:t>
            </w:r>
          </w:p>
        </w:tc>
        <w:tc>
          <w:tcPr>
            <w:tcW w:w="679" w:type="dxa"/>
            <w:vMerge/>
            <w:vAlign w:val="center"/>
          </w:tcPr>
          <w:p w:rsidR="00012F54" w:rsidRPr="00012F54" w:rsidRDefault="00012F54" w:rsidP="00012F54">
            <w:pPr>
              <w:widowControl w:val="0"/>
              <w:spacing w:after="0" w:line="240" w:lineRule="auto"/>
              <w:jc w:val="both"/>
              <w:rPr>
                <w:rFonts w:ascii="Times New Roman" w:hAnsi="Times New Roman"/>
                <w:bCs/>
                <w:sz w:val="28"/>
                <w:szCs w:val="28"/>
                <w:lang w:val="uk-UA"/>
              </w:rPr>
            </w:pPr>
          </w:p>
        </w:tc>
      </w:tr>
      <w:tr w:rsidR="00012F54" w:rsidRPr="00012F54" w:rsidTr="00012F54">
        <w:trPr>
          <w:trHeight w:val="409"/>
          <w:jc w:val="center"/>
        </w:trPr>
        <w:tc>
          <w:tcPr>
            <w:tcW w:w="832" w:type="dxa"/>
            <w:vAlign w:val="center"/>
          </w:tcPr>
          <w:p w:rsidR="00012F54" w:rsidRPr="00012F54" w:rsidRDefault="00012F54" w:rsidP="00012F54">
            <w:pPr>
              <w:widowControl w:val="0"/>
              <w:spacing w:after="0" w:line="240" w:lineRule="auto"/>
              <w:jc w:val="right"/>
              <w:rPr>
                <w:rFonts w:ascii="Times New Roman" w:hAnsi="Times New Roman"/>
                <w:bCs/>
                <w:sz w:val="28"/>
                <w:szCs w:val="28"/>
                <w:lang w:val="uk-UA"/>
              </w:rPr>
            </w:pPr>
            <w:r w:rsidRPr="00012F54">
              <w:rPr>
                <w:rFonts w:ascii="Times New Roman" w:hAnsi="Times New Roman"/>
                <w:bCs/>
                <w:sz w:val="28"/>
                <w:szCs w:val="28"/>
                <w:lang w:val="uk-UA"/>
              </w:rPr>
              <w:t>4</w:t>
            </w:r>
          </w:p>
        </w:tc>
        <w:tc>
          <w:tcPr>
            <w:tcW w:w="3767" w:type="dxa"/>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Верифікація нейромаркерів</w:t>
            </w:r>
          </w:p>
        </w:tc>
        <w:tc>
          <w:tcPr>
            <w:tcW w:w="3664" w:type="dxa"/>
            <w:vAlign w:val="center"/>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активність енолази</w:t>
            </w:r>
          </w:p>
        </w:tc>
        <w:tc>
          <w:tcPr>
            <w:tcW w:w="771" w:type="dxa"/>
            <w:vAlign w:val="center"/>
          </w:tcPr>
          <w:p w:rsidR="00012F54" w:rsidRPr="00012F54" w:rsidRDefault="00012F54" w:rsidP="00012F54">
            <w:pPr>
              <w:widowControl w:val="0"/>
              <w:spacing w:after="0" w:line="240" w:lineRule="auto"/>
              <w:jc w:val="center"/>
              <w:rPr>
                <w:rFonts w:ascii="Times New Roman" w:hAnsi="Times New Roman"/>
                <w:bCs/>
                <w:sz w:val="28"/>
                <w:szCs w:val="28"/>
                <w:lang w:val="uk-UA"/>
              </w:rPr>
            </w:pPr>
            <w:r w:rsidRPr="00012F54">
              <w:rPr>
                <w:rFonts w:ascii="Times New Roman" w:hAnsi="Times New Roman"/>
                <w:bCs/>
                <w:sz w:val="28"/>
                <w:szCs w:val="28"/>
                <w:lang w:val="uk-UA"/>
              </w:rPr>
              <w:t>42</w:t>
            </w:r>
          </w:p>
        </w:tc>
        <w:tc>
          <w:tcPr>
            <w:tcW w:w="679" w:type="dxa"/>
            <w:vAlign w:val="center"/>
          </w:tcPr>
          <w:p w:rsidR="00012F54" w:rsidRPr="00012F54" w:rsidRDefault="00012F54" w:rsidP="00012F54">
            <w:pPr>
              <w:widowControl w:val="0"/>
              <w:spacing w:after="0" w:line="240" w:lineRule="auto"/>
              <w:jc w:val="both"/>
              <w:rPr>
                <w:rFonts w:ascii="Times New Roman" w:hAnsi="Times New Roman"/>
                <w:bCs/>
                <w:sz w:val="28"/>
                <w:szCs w:val="28"/>
                <w:lang w:val="uk-UA"/>
              </w:rPr>
            </w:pPr>
            <w:r w:rsidRPr="00012F54">
              <w:rPr>
                <w:rFonts w:ascii="Times New Roman" w:hAnsi="Times New Roman"/>
                <w:bCs/>
                <w:sz w:val="28"/>
                <w:szCs w:val="28"/>
                <w:lang w:val="uk-UA"/>
              </w:rPr>
              <w:t>42</w:t>
            </w:r>
          </w:p>
        </w:tc>
      </w:tr>
      <w:tr w:rsidR="00012F54" w:rsidRPr="00012F54" w:rsidTr="00012F54">
        <w:trPr>
          <w:trHeight w:val="409"/>
          <w:jc w:val="center"/>
        </w:trPr>
        <w:tc>
          <w:tcPr>
            <w:tcW w:w="832" w:type="dxa"/>
            <w:vAlign w:val="center"/>
          </w:tcPr>
          <w:p w:rsidR="00012F54" w:rsidRPr="00012F54" w:rsidRDefault="00012F54" w:rsidP="00012F54">
            <w:pPr>
              <w:widowControl w:val="0"/>
              <w:spacing w:after="0" w:line="240" w:lineRule="auto"/>
              <w:jc w:val="right"/>
              <w:rPr>
                <w:rFonts w:ascii="Times New Roman" w:hAnsi="Times New Roman"/>
                <w:bCs/>
                <w:sz w:val="28"/>
                <w:szCs w:val="28"/>
                <w:lang w:val="uk-UA"/>
              </w:rPr>
            </w:pPr>
            <w:r w:rsidRPr="00012F54">
              <w:rPr>
                <w:rFonts w:ascii="Times New Roman" w:hAnsi="Times New Roman"/>
                <w:bCs/>
                <w:sz w:val="28"/>
                <w:szCs w:val="28"/>
                <w:lang w:val="uk-UA"/>
              </w:rPr>
              <w:t>5</w:t>
            </w:r>
          </w:p>
        </w:tc>
        <w:tc>
          <w:tcPr>
            <w:tcW w:w="3767" w:type="dxa"/>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 xml:space="preserve">Дослідження метаболічних процесів у головному мозку за </w:t>
            </w:r>
            <w:r w:rsidRPr="007F0FDA">
              <w:rPr>
                <w:rFonts w:ascii="Times New Roman" w:hAnsi="Times New Roman"/>
                <w:sz w:val="24"/>
                <w:szCs w:val="24"/>
                <w:lang w:val="uk-UA"/>
              </w:rPr>
              <w:t>умов внутрішньочерепного</w:t>
            </w:r>
            <w:r w:rsidRPr="00012F54">
              <w:rPr>
                <w:rFonts w:ascii="Times New Roman" w:hAnsi="Times New Roman"/>
                <w:sz w:val="28"/>
                <w:szCs w:val="28"/>
                <w:lang w:val="uk-UA"/>
              </w:rPr>
              <w:t xml:space="preserve"> крововиливу на тл</w:t>
            </w:r>
            <w:r w:rsidRPr="007F0FDA">
              <w:rPr>
                <w:rFonts w:ascii="Times New Roman" w:hAnsi="Times New Roman"/>
                <w:sz w:val="24"/>
                <w:szCs w:val="24"/>
                <w:lang w:val="uk-UA"/>
              </w:rPr>
              <w:t>і</w:t>
            </w:r>
            <w:r w:rsidRPr="00012F54">
              <w:rPr>
                <w:rFonts w:ascii="Times New Roman" w:hAnsi="Times New Roman"/>
                <w:sz w:val="28"/>
                <w:szCs w:val="28"/>
                <w:lang w:val="uk-UA"/>
              </w:rPr>
              <w:t xml:space="preserve"> фармакотерапії адемолом</w:t>
            </w:r>
          </w:p>
        </w:tc>
        <w:tc>
          <w:tcPr>
            <w:tcW w:w="3664" w:type="dxa"/>
            <w:vAlign w:val="center"/>
          </w:tcPr>
          <w:p w:rsidR="00012F54" w:rsidRPr="00012F54" w:rsidRDefault="00012F54" w:rsidP="00012F54">
            <w:pPr>
              <w:widowControl w:val="0"/>
              <w:spacing w:after="0" w:line="240" w:lineRule="auto"/>
              <w:jc w:val="both"/>
              <w:rPr>
                <w:rFonts w:ascii="Times New Roman" w:hAnsi="Times New Roman"/>
                <w:sz w:val="28"/>
                <w:szCs w:val="28"/>
                <w:lang w:val="uk-UA"/>
              </w:rPr>
            </w:pPr>
            <w:r w:rsidRPr="00012F54">
              <w:rPr>
                <w:rFonts w:ascii="Times New Roman" w:hAnsi="Times New Roman"/>
                <w:sz w:val="28"/>
                <w:szCs w:val="28"/>
                <w:lang w:val="uk-UA"/>
              </w:rPr>
              <w:t xml:space="preserve">Енергетичний та </w:t>
            </w:r>
            <w:r w:rsidRPr="00A74A7C">
              <w:rPr>
                <w:rFonts w:ascii="Times New Roman" w:hAnsi="Times New Roman"/>
                <w:sz w:val="24"/>
                <w:szCs w:val="24"/>
                <w:lang w:val="uk-UA"/>
              </w:rPr>
              <w:t xml:space="preserve">вуглеводний </w:t>
            </w:r>
            <w:r w:rsidRPr="00A74A7C">
              <w:rPr>
                <w:rFonts w:ascii="Times New Roman" w:hAnsi="Times New Roman"/>
                <w:sz w:val="28"/>
                <w:szCs w:val="28"/>
                <w:lang w:val="uk-UA"/>
              </w:rPr>
              <w:t>баланс,</w:t>
            </w:r>
            <w:r w:rsidRPr="00012F54">
              <w:rPr>
                <w:rFonts w:ascii="Times New Roman" w:hAnsi="Times New Roman"/>
                <w:sz w:val="28"/>
                <w:szCs w:val="28"/>
                <w:lang w:val="uk-UA"/>
              </w:rPr>
              <w:t xml:space="preserve">оксидативний та </w:t>
            </w:r>
            <w:r w:rsidRPr="00A74A7C">
              <w:rPr>
                <w:rFonts w:ascii="Times New Roman" w:hAnsi="Times New Roman"/>
                <w:sz w:val="24"/>
                <w:szCs w:val="24"/>
                <w:lang w:val="uk-UA"/>
              </w:rPr>
              <w:t>нітрозативний</w:t>
            </w:r>
            <w:r w:rsidRPr="00012F54">
              <w:rPr>
                <w:rFonts w:ascii="Times New Roman" w:hAnsi="Times New Roman"/>
                <w:sz w:val="28"/>
                <w:szCs w:val="28"/>
                <w:lang w:val="uk-UA"/>
              </w:rPr>
              <w:t xml:space="preserve"> стрес, обмін монооксиду азоту в мозку </w:t>
            </w:r>
          </w:p>
        </w:tc>
        <w:tc>
          <w:tcPr>
            <w:tcW w:w="1450" w:type="dxa"/>
            <w:gridSpan w:val="2"/>
            <w:vAlign w:val="center"/>
          </w:tcPr>
          <w:p w:rsidR="00012F54" w:rsidRPr="00012F54" w:rsidRDefault="00012F54" w:rsidP="00012F54">
            <w:pPr>
              <w:widowControl w:val="0"/>
              <w:spacing w:after="0" w:line="240" w:lineRule="auto"/>
              <w:jc w:val="center"/>
              <w:rPr>
                <w:rFonts w:ascii="Times New Roman" w:hAnsi="Times New Roman"/>
                <w:bCs/>
                <w:sz w:val="28"/>
                <w:szCs w:val="28"/>
                <w:lang w:val="uk-UA"/>
              </w:rPr>
            </w:pPr>
            <w:r w:rsidRPr="00012F54">
              <w:rPr>
                <w:rFonts w:ascii="Times New Roman" w:hAnsi="Times New Roman"/>
                <w:bCs/>
                <w:sz w:val="28"/>
                <w:szCs w:val="28"/>
                <w:lang w:val="uk-UA"/>
              </w:rPr>
              <w:t>90</w:t>
            </w:r>
          </w:p>
        </w:tc>
      </w:tr>
      <w:tr w:rsidR="00012F54" w:rsidRPr="00012F54" w:rsidTr="00012F54">
        <w:trPr>
          <w:trHeight w:val="421"/>
          <w:jc w:val="center"/>
        </w:trPr>
        <w:tc>
          <w:tcPr>
            <w:tcW w:w="8263" w:type="dxa"/>
            <w:gridSpan w:val="3"/>
            <w:tcBorders>
              <w:bottom w:val="single" w:sz="4" w:space="0" w:color="auto"/>
            </w:tcBorders>
          </w:tcPr>
          <w:p w:rsidR="00012F54" w:rsidRPr="00012F54" w:rsidRDefault="00012F54" w:rsidP="00012F54">
            <w:pPr>
              <w:widowControl w:val="0"/>
              <w:spacing w:before="120" w:after="120" w:line="240" w:lineRule="auto"/>
              <w:jc w:val="both"/>
              <w:rPr>
                <w:rFonts w:ascii="Times New Roman" w:hAnsi="Times New Roman"/>
                <w:b/>
                <w:bCs/>
                <w:sz w:val="28"/>
                <w:szCs w:val="28"/>
                <w:lang w:val="uk-UA"/>
              </w:rPr>
            </w:pPr>
            <w:r w:rsidRPr="00012F54">
              <w:rPr>
                <w:rFonts w:ascii="Times New Roman" w:hAnsi="Times New Roman"/>
                <w:b/>
                <w:bCs/>
                <w:sz w:val="28"/>
                <w:szCs w:val="28"/>
                <w:lang w:val="uk-UA"/>
              </w:rPr>
              <w:t>Всього щурів</w:t>
            </w:r>
          </w:p>
        </w:tc>
        <w:tc>
          <w:tcPr>
            <w:tcW w:w="1450" w:type="dxa"/>
            <w:gridSpan w:val="2"/>
            <w:vAlign w:val="center"/>
          </w:tcPr>
          <w:p w:rsidR="00012F54" w:rsidRPr="00012F54" w:rsidRDefault="00012F54" w:rsidP="00012F54">
            <w:pPr>
              <w:widowControl w:val="0"/>
              <w:spacing w:before="120" w:after="120" w:line="240" w:lineRule="auto"/>
              <w:ind w:right="-228"/>
              <w:jc w:val="center"/>
              <w:rPr>
                <w:rFonts w:ascii="Times New Roman" w:hAnsi="Times New Roman"/>
                <w:b/>
                <w:bCs/>
                <w:sz w:val="28"/>
                <w:szCs w:val="28"/>
                <w:lang w:val="uk-UA"/>
              </w:rPr>
            </w:pPr>
            <w:r w:rsidRPr="00012F54">
              <w:rPr>
                <w:rFonts w:ascii="Times New Roman" w:hAnsi="Times New Roman"/>
                <w:b/>
                <w:bCs/>
                <w:sz w:val="28"/>
                <w:szCs w:val="28"/>
                <w:lang w:val="uk-UA"/>
              </w:rPr>
              <w:t>379</w:t>
            </w:r>
          </w:p>
        </w:tc>
      </w:tr>
    </w:tbl>
    <w:p w:rsidR="00012F54" w:rsidRPr="00012F54" w:rsidRDefault="00012F54" w:rsidP="00012F54">
      <w:pPr>
        <w:rPr>
          <w:rFonts w:ascii="Times New Roman" w:hAnsi="Times New Roman"/>
        </w:rPr>
      </w:pPr>
      <w:r w:rsidRPr="00012F54">
        <w:rPr>
          <w:rFonts w:ascii="Times New Roman" w:hAnsi="Times New Roman"/>
        </w:rPr>
        <w:br w:type="page"/>
      </w:r>
    </w:p>
    <w:p w:rsidR="00012F54" w:rsidRPr="00012F54" w:rsidRDefault="00012F54" w:rsidP="00012F54">
      <w:pPr>
        <w:jc w:val="right"/>
        <w:rPr>
          <w:rFonts w:ascii="Times New Roman" w:hAnsi="Times New Roman"/>
          <w:bCs/>
          <w:sz w:val="28"/>
          <w:szCs w:val="28"/>
          <w:lang w:val="uk-UA"/>
        </w:rPr>
      </w:pPr>
      <w:r w:rsidRPr="00012F54">
        <w:rPr>
          <w:rFonts w:ascii="Times New Roman" w:hAnsi="Times New Roman"/>
          <w:bCs/>
          <w:sz w:val="28"/>
          <w:szCs w:val="28"/>
          <w:lang w:val="uk-UA"/>
        </w:rPr>
        <w:lastRenderedPageBreak/>
        <w:t>Таблиця 2.2</w:t>
      </w:r>
    </w:p>
    <w:p w:rsidR="00012F54" w:rsidRPr="00012F54" w:rsidRDefault="00012F54" w:rsidP="00012F54">
      <w:pPr>
        <w:spacing w:after="0" w:line="360" w:lineRule="auto"/>
        <w:jc w:val="center"/>
        <w:rPr>
          <w:rFonts w:ascii="Times New Roman" w:hAnsi="Times New Roman"/>
          <w:bCs/>
          <w:sz w:val="28"/>
          <w:szCs w:val="28"/>
          <w:lang w:val="uk-UA"/>
        </w:rPr>
      </w:pPr>
      <w:r w:rsidRPr="00012F54">
        <w:rPr>
          <w:rFonts w:ascii="Times New Roman" w:hAnsi="Times New Roman"/>
          <w:bCs/>
          <w:sz w:val="28"/>
          <w:szCs w:val="28"/>
          <w:lang w:val="uk-UA"/>
        </w:rPr>
        <w:t>Рандомізація щурів по дослідним групам</w:t>
      </w:r>
    </w:p>
    <w:p w:rsidR="00012F54" w:rsidRPr="00012F54" w:rsidRDefault="00012F54" w:rsidP="00012F54">
      <w:pPr>
        <w:spacing w:after="0" w:line="360" w:lineRule="auto"/>
        <w:jc w:val="center"/>
        <w:rPr>
          <w:rFonts w:ascii="Times New Roman" w:hAnsi="Times New Roman"/>
          <w:bCs/>
          <w:sz w:val="28"/>
          <w:szCs w:val="28"/>
        </w:rPr>
      </w:pPr>
      <w:r w:rsidRPr="00012F54">
        <w:rPr>
          <w:rFonts w:ascii="Times New Roman" w:hAnsi="Times New Roman"/>
          <w:bCs/>
          <w:sz w:val="28"/>
          <w:szCs w:val="28"/>
          <w:lang w:val="uk-UA"/>
        </w:rPr>
        <w:t>при внутрішньомозковому крововиливі</w:t>
      </w:r>
    </w:p>
    <w:p w:rsidR="00012F54" w:rsidRPr="00763508" w:rsidRDefault="00012F54" w:rsidP="00012F54">
      <w:pPr>
        <w:spacing w:after="0" w:line="240" w:lineRule="auto"/>
        <w:jc w:val="center"/>
        <w:rPr>
          <w:rFonts w:ascii="Times New Roman" w:hAnsi="Times New Roman"/>
          <w:sz w:val="28"/>
          <w:szCs w:val="28"/>
        </w:rPr>
      </w:pP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81"/>
        <w:gridCol w:w="4682"/>
        <w:gridCol w:w="14"/>
        <w:gridCol w:w="660"/>
        <w:gridCol w:w="77"/>
        <w:gridCol w:w="699"/>
      </w:tblGrid>
      <w:tr w:rsidR="00012F54" w:rsidRPr="00012F54" w:rsidTr="00012F54">
        <w:trPr>
          <w:trHeight w:val="276"/>
          <w:jc w:val="center"/>
        </w:trPr>
        <w:tc>
          <w:tcPr>
            <w:tcW w:w="8277" w:type="dxa"/>
            <w:gridSpan w:val="3"/>
            <w:tcBorders>
              <w:left w:val="single" w:sz="4" w:space="0" w:color="auto"/>
              <w:right w:val="single" w:sz="4" w:space="0" w:color="auto"/>
            </w:tcBorders>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Вектор експериментального напрямку</w:t>
            </w:r>
          </w:p>
        </w:tc>
        <w:tc>
          <w:tcPr>
            <w:tcW w:w="1436" w:type="dxa"/>
            <w:gridSpan w:val="3"/>
            <w:tcBorders>
              <w:left w:val="single" w:sz="4" w:space="0" w:color="auto"/>
              <w:right w:val="single" w:sz="4" w:space="0" w:color="auto"/>
            </w:tcBorders>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Сумарна кількість щурів</w:t>
            </w:r>
          </w:p>
        </w:tc>
      </w:tr>
      <w:tr w:rsidR="00012F54" w:rsidRPr="00012F54" w:rsidTr="00012F54">
        <w:trPr>
          <w:trHeight w:val="214"/>
          <w:jc w:val="center"/>
        </w:trPr>
        <w:tc>
          <w:tcPr>
            <w:tcW w:w="9713" w:type="dxa"/>
            <w:gridSpan w:val="6"/>
            <w:tcBorders>
              <w:left w:val="single" w:sz="4" w:space="0" w:color="auto"/>
              <w:right w:val="single" w:sz="4" w:space="0" w:color="auto"/>
            </w:tcBorders>
            <w:vAlign w:val="center"/>
          </w:tcPr>
          <w:p w:rsidR="00012F54" w:rsidRPr="00012F54" w:rsidRDefault="00012F54" w:rsidP="00763508">
            <w:pPr>
              <w:widowControl w:val="0"/>
              <w:spacing w:before="60" w:after="60" w:line="240" w:lineRule="auto"/>
              <w:jc w:val="both"/>
              <w:rPr>
                <w:rFonts w:ascii="Times New Roman" w:hAnsi="Times New Roman"/>
                <w:b/>
                <w:sz w:val="28"/>
                <w:szCs w:val="28"/>
                <w:lang w:val="uk-UA"/>
              </w:rPr>
            </w:pPr>
            <w:r w:rsidRPr="00012F54">
              <w:rPr>
                <w:rFonts w:ascii="Times New Roman" w:hAnsi="Times New Roman"/>
                <w:b/>
                <w:sz w:val="28"/>
                <w:szCs w:val="28"/>
                <w:lang w:val="uk-UA"/>
              </w:rPr>
              <w:t>Модель внутрішньомозкового крововиливу у щурів</w:t>
            </w:r>
          </w:p>
        </w:tc>
      </w:tr>
      <w:tr w:rsidR="00012F54" w:rsidRPr="00012F54" w:rsidTr="00012F54">
        <w:trPr>
          <w:trHeight w:val="1040"/>
          <w:jc w:val="center"/>
        </w:trPr>
        <w:tc>
          <w:tcPr>
            <w:tcW w:w="3581" w:type="dxa"/>
            <w:vMerge w:val="restart"/>
            <w:vAlign w:val="center"/>
          </w:tcPr>
          <w:p w:rsidR="00012F54" w:rsidRPr="00012F54" w:rsidRDefault="00012F54" w:rsidP="00763508">
            <w:pPr>
              <w:widowControl w:val="0"/>
              <w:spacing w:before="60" w:after="60" w:line="240" w:lineRule="auto"/>
              <w:jc w:val="both"/>
              <w:rPr>
                <w:rFonts w:ascii="Times New Roman" w:hAnsi="Times New Roman"/>
                <w:bCs/>
                <w:sz w:val="28"/>
                <w:szCs w:val="28"/>
                <w:lang w:val="uk-UA"/>
              </w:rPr>
            </w:pPr>
            <w:r w:rsidRPr="00012F54">
              <w:rPr>
                <w:rFonts w:ascii="Times New Roman" w:hAnsi="Times New Roman"/>
                <w:sz w:val="28"/>
                <w:szCs w:val="28"/>
                <w:lang w:val="uk-UA"/>
              </w:rPr>
              <w:t>Оцінка нейропротекторної активності адемолу, німодипіну, амантадину та магнію сульфату:</w:t>
            </w:r>
          </w:p>
        </w:tc>
        <w:tc>
          <w:tcPr>
            <w:tcW w:w="4682"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за динамікою летальності щурів із модельним внутрішньо мозковим крововиливом</w:t>
            </w:r>
          </w:p>
        </w:tc>
        <w:tc>
          <w:tcPr>
            <w:tcW w:w="751" w:type="dxa"/>
            <w:gridSpan w:val="3"/>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236</w:t>
            </w:r>
          </w:p>
        </w:tc>
        <w:tc>
          <w:tcPr>
            <w:tcW w:w="699" w:type="dxa"/>
            <w:vMerge w:val="restart"/>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416</w:t>
            </w:r>
          </w:p>
        </w:tc>
      </w:tr>
      <w:tr w:rsidR="00012F54" w:rsidRPr="00012F54" w:rsidTr="00012F54">
        <w:trPr>
          <w:trHeight w:val="354"/>
          <w:jc w:val="center"/>
        </w:trPr>
        <w:tc>
          <w:tcPr>
            <w:tcW w:w="3581" w:type="dxa"/>
            <w:vMerge/>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p>
        </w:tc>
        <w:tc>
          <w:tcPr>
            <w:tcW w:w="4682"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за динамікою неврологічного дефіциту</w:t>
            </w:r>
          </w:p>
        </w:tc>
        <w:tc>
          <w:tcPr>
            <w:tcW w:w="751" w:type="dxa"/>
            <w:gridSpan w:val="3"/>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90</w:t>
            </w:r>
          </w:p>
        </w:tc>
        <w:tc>
          <w:tcPr>
            <w:tcW w:w="699" w:type="dxa"/>
            <w:vMerge/>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p>
        </w:tc>
      </w:tr>
      <w:tr w:rsidR="00012F54" w:rsidRPr="00012F54" w:rsidTr="00012F54">
        <w:trPr>
          <w:trHeight w:val="308"/>
          <w:jc w:val="center"/>
        </w:trPr>
        <w:tc>
          <w:tcPr>
            <w:tcW w:w="3581" w:type="dxa"/>
            <w:vMerge/>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p>
        </w:tc>
        <w:tc>
          <w:tcPr>
            <w:tcW w:w="4682"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нанавчання та пам'ять щурів ізвнутрішньомозковим крововиливом</w:t>
            </w:r>
          </w:p>
        </w:tc>
        <w:tc>
          <w:tcPr>
            <w:tcW w:w="751" w:type="dxa"/>
            <w:gridSpan w:val="3"/>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90</w:t>
            </w:r>
          </w:p>
        </w:tc>
        <w:tc>
          <w:tcPr>
            <w:tcW w:w="699" w:type="dxa"/>
            <w:vMerge/>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p>
        </w:tc>
      </w:tr>
      <w:tr w:rsidR="00012F54" w:rsidRPr="00012F54" w:rsidTr="00012F54">
        <w:trPr>
          <w:trHeight w:val="322"/>
          <w:jc w:val="center"/>
        </w:trPr>
        <w:tc>
          <w:tcPr>
            <w:tcW w:w="3581" w:type="dxa"/>
            <w:vMerge w:val="restart"/>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Оцінка функціональних параметрів</w:t>
            </w:r>
          </w:p>
        </w:tc>
        <w:tc>
          <w:tcPr>
            <w:tcW w:w="4682"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мозковий кровоплин (об’ємно)</w:t>
            </w:r>
          </w:p>
        </w:tc>
        <w:tc>
          <w:tcPr>
            <w:tcW w:w="1450" w:type="dxa"/>
            <w:gridSpan w:val="4"/>
            <w:vMerge w:val="restart"/>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21</w:t>
            </w:r>
          </w:p>
        </w:tc>
      </w:tr>
      <w:tr w:rsidR="00012F54" w:rsidRPr="00012F54" w:rsidTr="00012F54">
        <w:trPr>
          <w:trHeight w:val="341"/>
          <w:jc w:val="center"/>
        </w:trPr>
        <w:tc>
          <w:tcPr>
            <w:tcW w:w="3581" w:type="dxa"/>
            <w:vMerge/>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p>
        </w:tc>
        <w:tc>
          <w:tcPr>
            <w:tcW w:w="4682"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мікроциркуляція в корі мозку</w:t>
            </w:r>
          </w:p>
        </w:tc>
        <w:tc>
          <w:tcPr>
            <w:tcW w:w="1450" w:type="dxa"/>
            <w:gridSpan w:val="4"/>
            <w:vMerge/>
            <w:vAlign w:val="center"/>
          </w:tcPr>
          <w:p w:rsidR="00012F54" w:rsidRPr="00012F54" w:rsidRDefault="00012F54" w:rsidP="00763508">
            <w:pPr>
              <w:widowControl w:val="0"/>
              <w:spacing w:before="60" w:after="60" w:line="240" w:lineRule="auto"/>
              <w:jc w:val="both"/>
              <w:rPr>
                <w:rFonts w:ascii="Times New Roman" w:hAnsi="Times New Roman"/>
                <w:bCs/>
                <w:sz w:val="28"/>
                <w:szCs w:val="28"/>
                <w:lang w:val="uk-UA"/>
              </w:rPr>
            </w:pPr>
          </w:p>
        </w:tc>
      </w:tr>
      <w:tr w:rsidR="00012F54" w:rsidRPr="00012F54" w:rsidTr="00012F54">
        <w:trPr>
          <w:trHeight w:val="275"/>
          <w:jc w:val="center"/>
        </w:trPr>
        <w:tc>
          <w:tcPr>
            <w:tcW w:w="3581" w:type="dxa"/>
            <w:vMerge/>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p>
        </w:tc>
        <w:tc>
          <w:tcPr>
            <w:tcW w:w="4682"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артеріальний тиск</w:t>
            </w:r>
          </w:p>
        </w:tc>
        <w:tc>
          <w:tcPr>
            <w:tcW w:w="1450" w:type="dxa"/>
            <w:gridSpan w:val="4"/>
            <w:vMerge/>
            <w:vAlign w:val="center"/>
          </w:tcPr>
          <w:p w:rsidR="00012F54" w:rsidRPr="00012F54" w:rsidRDefault="00012F54" w:rsidP="00763508">
            <w:pPr>
              <w:widowControl w:val="0"/>
              <w:spacing w:before="60" w:after="60" w:line="240" w:lineRule="auto"/>
              <w:jc w:val="both"/>
              <w:rPr>
                <w:rFonts w:ascii="Times New Roman" w:hAnsi="Times New Roman"/>
                <w:bCs/>
                <w:sz w:val="28"/>
                <w:szCs w:val="28"/>
                <w:lang w:val="uk-UA"/>
              </w:rPr>
            </w:pPr>
          </w:p>
        </w:tc>
      </w:tr>
      <w:tr w:rsidR="00012F54" w:rsidRPr="00012F54" w:rsidTr="00012F54">
        <w:trPr>
          <w:trHeight w:val="223"/>
          <w:jc w:val="center"/>
        </w:trPr>
        <w:tc>
          <w:tcPr>
            <w:tcW w:w="3581" w:type="dxa"/>
            <w:vMerge/>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p>
        </w:tc>
        <w:tc>
          <w:tcPr>
            <w:tcW w:w="4682"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центральний венозний тиск</w:t>
            </w:r>
          </w:p>
        </w:tc>
        <w:tc>
          <w:tcPr>
            <w:tcW w:w="1450" w:type="dxa"/>
            <w:gridSpan w:val="4"/>
            <w:vMerge/>
            <w:vAlign w:val="center"/>
          </w:tcPr>
          <w:p w:rsidR="00012F54" w:rsidRPr="00012F54" w:rsidRDefault="00012F54" w:rsidP="00763508">
            <w:pPr>
              <w:widowControl w:val="0"/>
              <w:spacing w:before="60" w:after="60" w:line="240" w:lineRule="auto"/>
              <w:jc w:val="both"/>
              <w:rPr>
                <w:rFonts w:ascii="Times New Roman" w:hAnsi="Times New Roman"/>
                <w:bCs/>
                <w:sz w:val="28"/>
                <w:szCs w:val="28"/>
                <w:lang w:val="uk-UA"/>
              </w:rPr>
            </w:pPr>
          </w:p>
        </w:tc>
      </w:tr>
      <w:tr w:rsidR="00012F54" w:rsidRPr="00012F54" w:rsidTr="00012F54">
        <w:trPr>
          <w:trHeight w:val="307"/>
          <w:jc w:val="center"/>
        </w:trPr>
        <w:tc>
          <w:tcPr>
            <w:tcW w:w="3581" w:type="dxa"/>
            <w:vMerge/>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p>
        </w:tc>
        <w:tc>
          <w:tcPr>
            <w:tcW w:w="4682"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насичення крові киснем</w:t>
            </w:r>
          </w:p>
        </w:tc>
        <w:tc>
          <w:tcPr>
            <w:tcW w:w="1450" w:type="dxa"/>
            <w:gridSpan w:val="4"/>
            <w:vMerge/>
            <w:vAlign w:val="center"/>
          </w:tcPr>
          <w:p w:rsidR="00012F54" w:rsidRPr="00012F54" w:rsidRDefault="00012F54" w:rsidP="00763508">
            <w:pPr>
              <w:widowControl w:val="0"/>
              <w:spacing w:before="60" w:after="60" w:line="240" w:lineRule="auto"/>
              <w:jc w:val="both"/>
              <w:rPr>
                <w:rFonts w:ascii="Times New Roman" w:hAnsi="Times New Roman"/>
                <w:bCs/>
                <w:sz w:val="28"/>
                <w:szCs w:val="28"/>
                <w:lang w:val="uk-UA"/>
              </w:rPr>
            </w:pPr>
          </w:p>
        </w:tc>
      </w:tr>
      <w:tr w:rsidR="00012F54" w:rsidRPr="00012F54" w:rsidTr="00012F54">
        <w:trPr>
          <w:trHeight w:val="307"/>
          <w:jc w:val="center"/>
        </w:trPr>
        <w:tc>
          <w:tcPr>
            <w:tcW w:w="3581" w:type="dxa"/>
            <w:vMerge w:val="restart"/>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Верифікація нейромаркерів</w:t>
            </w:r>
          </w:p>
        </w:tc>
        <w:tc>
          <w:tcPr>
            <w:tcW w:w="4682"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рівні енолази</w:t>
            </w:r>
          </w:p>
        </w:tc>
        <w:tc>
          <w:tcPr>
            <w:tcW w:w="674" w:type="dxa"/>
            <w:gridSpan w:val="2"/>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42</w:t>
            </w:r>
          </w:p>
        </w:tc>
        <w:tc>
          <w:tcPr>
            <w:tcW w:w="776" w:type="dxa"/>
            <w:gridSpan w:val="2"/>
            <w:vMerge w:val="restart"/>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132</w:t>
            </w:r>
          </w:p>
        </w:tc>
      </w:tr>
      <w:tr w:rsidR="00012F54" w:rsidRPr="00012F54" w:rsidTr="00012F54">
        <w:trPr>
          <w:trHeight w:val="365"/>
          <w:jc w:val="center"/>
        </w:trPr>
        <w:tc>
          <w:tcPr>
            <w:tcW w:w="3581" w:type="dxa"/>
            <w:vMerge/>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p>
        </w:tc>
        <w:tc>
          <w:tcPr>
            <w:tcW w:w="4682"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вміст білку S100</w:t>
            </w:r>
          </w:p>
        </w:tc>
        <w:tc>
          <w:tcPr>
            <w:tcW w:w="674" w:type="dxa"/>
            <w:gridSpan w:val="2"/>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90</w:t>
            </w:r>
          </w:p>
        </w:tc>
        <w:tc>
          <w:tcPr>
            <w:tcW w:w="776" w:type="dxa"/>
            <w:gridSpan w:val="2"/>
            <w:vMerge/>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p>
        </w:tc>
      </w:tr>
      <w:tr w:rsidR="00012F54" w:rsidRPr="00012F54" w:rsidTr="00012F54">
        <w:trPr>
          <w:trHeight w:val="307"/>
          <w:jc w:val="center"/>
        </w:trPr>
        <w:tc>
          <w:tcPr>
            <w:tcW w:w="3581" w:type="dxa"/>
            <w:vMerge w:val="restart"/>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Протоково-цитометричний аналіз</w:t>
            </w:r>
          </w:p>
        </w:tc>
        <w:tc>
          <w:tcPr>
            <w:tcW w:w="4682"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фрагментація ДНК (апоптоз)</w:t>
            </w:r>
          </w:p>
        </w:tc>
        <w:tc>
          <w:tcPr>
            <w:tcW w:w="674" w:type="dxa"/>
            <w:gridSpan w:val="2"/>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32</w:t>
            </w:r>
          </w:p>
        </w:tc>
        <w:tc>
          <w:tcPr>
            <w:tcW w:w="776" w:type="dxa"/>
            <w:gridSpan w:val="2"/>
            <w:vMerge w:val="restart"/>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64</w:t>
            </w:r>
          </w:p>
        </w:tc>
      </w:tr>
      <w:tr w:rsidR="00012F54" w:rsidRPr="00012F54" w:rsidTr="00012F54">
        <w:trPr>
          <w:trHeight w:val="307"/>
          <w:jc w:val="center"/>
        </w:trPr>
        <w:tc>
          <w:tcPr>
            <w:tcW w:w="3581" w:type="dxa"/>
            <w:vMerge/>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p>
        </w:tc>
        <w:tc>
          <w:tcPr>
            <w:tcW w:w="4682"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фаза S (гліальна проліферація)</w:t>
            </w:r>
          </w:p>
        </w:tc>
        <w:tc>
          <w:tcPr>
            <w:tcW w:w="674" w:type="dxa"/>
            <w:gridSpan w:val="2"/>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32</w:t>
            </w:r>
          </w:p>
        </w:tc>
        <w:tc>
          <w:tcPr>
            <w:tcW w:w="776" w:type="dxa"/>
            <w:gridSpan w:val="2"/>
            <w:vMerge/>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p>
        </w:tc>
      </w:tr>
      <w:tr w:rsidR="00012F54" w:rsidRPr="00012F54" w:rsidTr="00012F54">
        <w:trPr>
          <w:trHeight w:val="475"/>
          <w:jc w:val="center"/>
        </w:trPr>
        <w:tc>
          <w:tcPr>
            <w:tcW w:w="3581"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ВЧТ Глутаматна та стероїдна нейротоксичність</w:t>
            </w:r>
          </w:p>
        </w:tc>
        <w:tc>
          <w:tcPr>
            <w:tcW w:w="4682" w:type="dxa"/>
            <w:vAlign w:val="center"/>
          </w:tcPr>
          <w:p w:rsidR="00012F54" w:rsidRPr="00012F54" w:rsidRDefault="00012F54" w:rsidP="00763508">
            <w:pPr>
              <w:widowControl w:val="0"/>
              <w:spacing w:before="60" w:after="60" w:line="240" w:lineRule="auto"/>
              <w:jc w:val="both"/>
              <w:rPr>
                <w:rFonts w:ascii="Times New Roman" w:hAnsi="Times New Roman"/>
                <w:sz w:val="28"/>
                <w:szCs w:val="28"/>
                <w:lang w:val="uk-UA"/>
              </w:rPr>
            </w:pPr>
            <w:r w:rsidRPr="00012F54">
              <w:rPr>
                <w:rFonts w:ascii="Times New Roman" w:hAnsi="Times New Roman"/>
                <w:sz w:val="28"/>
                <w:szCs w:val="28"/>
                <w:lang w:val="uk-UA"/>
              </w:rPr>
              <w:t>рівень кортизолу</w:t>
            </w:r>
          </w:p>
        </w:tc>
        <w:tc>
          <w:tcPr>
            <w:tcW w:w="1450" w:type="dxa"/>
            <w:gridSpan w:val="4"/>
            <w:vAlign w:val="center"/>
          </w:tcPr>
          <w:p w:rsidR="00012F54" w:rsidRPr="00012F54" w:rsidRDefault="00012F54" w:rsidP="00763508">
            <w:pPr>
              <w:widowControl w:val="0"/>
              <w:spacing w:before="60" w:after="60" w:line="240" w:lineRule="auto"/>
              <w:jc w:val="center"/>
              <w:rPr>
                <w:rFonts w:ascii="Times New Roman" w:hAnsi="Times New Roman"/>
                <w:bCs/>
                <w:sz w:val="28"/>
                <w:szCs w:val="28"/>
                <w:lang w:val="uk-UA"/>
              </w:rPr>
            </w:pPr>
            <w:r w:rsidRPr="00012F54">
              <w:rPr>
                <w:rFonts w:ascii="Times New Roman" w:hAnsi="Times New Roman"/>
                <w:bCs/>
                <w:sz w:val="28"/>
                <w:szCs w:val="28"/>
                <w:lang w:val="uk-UA"/>
              </w:rPr>
              <w:t>42</w:t>
            </w:r>
          </w:p>
        </w:tc>
      </w:tr>
      <w:tr w:rsidR="00012F54" w:rsidRPr="00012F54" w:rsidTr="00012F54">
        <w:trPr>
          <w:trHeight w:val="454"/>
          <w:jc w:val="center"/>
        </w:trPr>
        <w:tc>
          <w:tcPr>
            <w:tcW w:w="8263" w:type="dxa"/>
            <w:gridSpan w:val="2"/>
            <w:vAlign w:val="center"/>
          </w:tcPr>
          <w:p w:rsidR="00012F54" w:rsidRPr="00012F54" w:rsidRDefault="00012F54" w:rsidP="00763508">
            <w:pPr>
              <w:widowControl w:val="0"/>
              <w:spacing w:before="60" w:after="60" w:line="240" w:lineRule="auto"/>
              <w:jc w:val="both"/>
              <w:rPr>
                <w:rFonts w:ascii="Times New Roman" w:hAnsi="Times New Roman"/>
                <w:b/>
                <w:bCs/>
                <w:sz w:val="28"/>
                <w:szCs w:val="28"/>
                <w:lang w:val="uk-UA"/>
              </w:rPr>
            </w:pPr>
            <w:r w:rsidRPr="00012F54">
              <w:rPr>
                <w:rFonts w:ascii="Times New Roman" w:hAnsi="Times New Roman"/>
                <w:b/>
                <w:bCs/>
                <w:sz w:val="28"/>
                <w:szCs w:val="28"/>
                <w:lang w:val="uk-UA"/>
              </w:rPr>
              <w:t>Всього щурів</w:t>
            </w:r>
          </w:p>
        </w:tc>
        <w:tc>
          <w:tcPr>
            <w:tcW w:w="1450" w:type="dxa"/>
            <w:gridSpan w:val="4"/>
            <w:vAlign w:val="center"/>
          </w:tcPr>
          <w:p w:rsidR="00012F54" w:rsidRPr="00012F54" w:rsidRDefault="00012F54" w:rsidP="00763508">
            <w:pPr>
              <w:widowControl w:val="0"/>
              <w:spacing w:before="60" w:after="60" w:line="240" w:lineRule="auto"/>
              <w:ind w:right="-228"/>
              <w:jc w:val="center"/>
              <w:rPr>
                <w:rFonts w:ascii="Times New Roman" w:hAnsi="Times New Roman"/>
                <w:b/>
                <w:bCs/>
                <w:sz w:val="28"/>
                <w:szCs w:val="28"/>
                <w:lang w:val="uk-UA"/>
              </w:rPr>
            </w:pPr>
            <w:r w:rsidRPr="00012F54">
              <w:rPr>
                <w:rFonts w:ascii="Times New Roman" w:hAnsi="Times New Roman"/>
                <w:b/>
                <w:bCs/>
                <w:sz w:val="28"/>
                <w:szCs w:val="28"/>
                <w:lang w:val="uk-UA"/>
              </w:rPr>
              <w:t>765</w:t>
            </w:r>
          </w:p>
        </w:tc>
      </w:tr>
    </w:tbl>
    <w:p w:rsidR="00012F54" w:rsidRPr="00763508" w:rsidRDefault="00012F54" w:rsidP="00012F54">
      <w:pPr>
        <w:widowControl w:val="0"/>
        <w:spacing w:after="0" w:line="360" w:lineRule="auto"/>
        <w:ind w:firstLine="284"/>
        <w:jc w:val="both"/>
        <w:rPr>
          <w:rFonts w:ascii="Times New Roman" w:hAnsi="Times New Roman"/>
          <w:b/>
          <w:caps/>
          <w:sz w:val="28"/>
          <w:szCs w:val="28"/>
        </w:rPr>
      </w:pPr>
    </w:p>
    <w:p w:rsidR="00012F54" w:rsidRPr="00012F54" w:rsidRDefault="00012F54" w:rsidP="00B065B6">
      <w:pPr>
        <w:pStyle w:val="aa"/>
        <w:widowControl w:val="0"/>
        <w:spacing w:after="0" w:line="360" w:lineRule="auto"/>
        <w:ind w:firstLine="284"/>
        <w:jc w:val="both"/>
        <w:rPr>
          <w:rFonts w:ascii="Times New Roman" w:hAnsi="Times New Roman"/>
          <w:b/>
          <w:caps/>
          <w:sz w:val="28"/>
          <w:szCs w:val="28"/>
          <w:lang w:val="uk-UA"/>
        </w:rPr>
      </w:pPr>
      <w:r w:rsidRPr="00012F54">
        <w:rPr>
          <w:rFonts w:ascii="Times New Roman" w:hAnsi="Times New Roman"/>
          <w:sz w:val="28"/>
          <w:szCs w:val="28"/>
          <w:lang w:val="uk-UA"/>
        </w:rPr>
        <w:t xml:space="preserve">Період профілактичного карантину та акліматизації щурів напередодні формування груп становив 14 діб, при умові щоденного поголівного огляду дипломованим ветеринаром та зоотехніком. </w:t>
      </w:r>
    </w:p>
    <w:p w:rsidR="00012F54" w:rsidRPr="00012F54" w:rsidRDefault="00012F54" w:rsidP="00B065B6">
      <w:pPr>
        <w:widowControl w:val="0"/>
        <w:spacing w:after="0" w:line="360" w:lineRule="auto"/>
        <w:ind w:firstLine="284"/>
        <w:jc w:val="both"/>
        <w:rPr>
          <w:rFonts w:ascii="Times New Roman" w:eastAsia="Calibri" w:hAnsi="Times New Roman"/>
          <w:sz w:val="28"/>
          <w:szCs w:val="28"/>
          <w:lang w:val="uk-UA" w:eastAsia="en-US"/>
        </w:rPr>
      </w:pPr>
      <w:r w:rsidRPr="00012F54">
        <w:rPr>
          <w:rFonts w:ascii="Times New Roman" w:eastAsia="Calibri" w:hAnsi="Times New Roman"/>
          <w:sz w:val="28"/>
          <w:szCs w:val="28"/>
          <w:lang w:val="uk-UA" w:eastAsia="en-US"/>
        </w:rPr>
        <w:t xml:space="preserve">Всі травматичні маніпуляції зі щурами по моделюванню патологічного стану виконували в асептичних, однакових для всіх груп в умовах при анестезіологічному </w:t>
      </w:r>
      <w:r w:rsidRPr="00012F54">
        <w:rPr>
          <w:rFonts w:ascii="Times New Roman" w:eastAsia="Calibri" w:hAnsi="Times New Roman"/>
          <w:sz w:val="28"/>
          <w:szCs w:val="28"/>
          <w:lang w:val="uk-UA" w:eastAsia="en-US"/>
        </w:rPr>
        <w:lastRenderedPageBreak/>
        <w:t xml:space="preserve">забезпеченні пропофолом (дипріваном) («FreseniusKabi», Австрія), дозою 60 мг/кг в/о, або в/в, з розрахунку 10 мг/мл, у раннішній період (з 8-ої до 13-ої год). </w:t>
      </w:r>
    </w:p>
    <w:p w:rsidR="00012F54" w:rsidRPr="005879AB" w:rsidRDefault="00012F54" w:rsidP="00B065B6">
      <w:pPr>
        <w:pStyle w:val="2"/>
        <w:spacing w:line="360" w:lineRule="auto"/>
        <w:ind w:firstLine="284"/>
        <w:jc w:val="both"/>
        <w:rPr>
          <w:rFonts w:ascii="Times New Roman" w:hAnsi="Times New Roman" w:cs="Times New Roman"/>
          <w:color w:val="auto"/>
          <w:sz w:val="28"/>
          <w:szCs w:val="28"/>
          <w:lang w:val="uk-UA"/>
        </w:rPr>
      </w:pPr>
      <w:r w:rsidRPr="005879AB">
        <w:rPr>
          <w:rFonts w:ascii="Times New Roman" w:hAnsi="Times New Roman" w:cs="Times New Roman"/>
          <w:color w:val="auto"/>
          <w:sz w:val="28"/>
          <w:szCs w:val="28"/>
          <w:lang w:val="uk-UA"/>
        </w:rPr>
        <w:t>2.2. Відтворення моделей інтракраніальноїгеморагії: відтворення субарахноїдального та внутрішньомозкового крововиливу. Методологія оцінки виживаності тварин, неврологічного статусу, мнемотропної активності та показників вітальних функціональних параметрів</w:t>
      </w:r>
    </w:p>
    <w:p w:rsidR="00012F54" w:rsidRPr="00012F54" w:rsidRDefault="00012F54" w:rsidP="00B065B6">
      <w:pPr>
        <w:widowControl w:val="0"/>
        <w:shd w:val="clear" w:color="auto" w:fill="FFFFFF"/>
        <w:spacing w:after="0" w:line="36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 xml:space="preserve">Порівняльну оцінку впливу промислового зразка 1,0 % розчину адемолу та референс-препаратів на виживаність, неврологічний статус, мнемотропну активність, функціональні показники мікроциркуляції, церебральної та центральної гемодинаміки, коливання ВЧТ, біохімічні та морфоцитометричні зміни, проводили в умовах експериментального ГІ: ВМК та САК. </w:t>
      </w:r>
    </w:p>
    <w:p w:rsidR="00012F54" w:rsidRPr="00012F54" w:rsidRDefault="00012F54" w:rsidP="00B065B6">
      <w:pPr>
        <w:widowControl w:val="0"/>
        <w:shd w:val="clear" w:color="auto" w:fill="FFFFFF"/>
        <w:spacing w:after="0" w:line="36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ВМК середнього ступеня тяжкості моделювали за шляхом введення у внутрішню капсулу головного мозку (стереотаксичні координати проекції: Н=7,0 мм, L=3,0 мм, А=1,5 мм від брегми) аутокрові (20 мкл/100 г) [</w:t>
      </w:r>
      <w:r w:rsidRPr="00012F54">
        <w:rPr>
          <w:rFonts w:ascii="Times New Roman" w:eastAsia="TimesNewRomanPSMT" w:hAnsi="Times New Roman"/>
          <w:sz w:val="28"/>
          <w:szCs w:val="28"/>
        </w:rPr>
        <w:t>128</w:t>
      </w:r>
      <w:r w:rsidRPr="00012F54">
        <w:rPr>
          <w:rFonts w:ascii="Times New Roman" w:eastAsia="TimesNewRomanPSMT" w:hAnsi="Times New Roman"/>
          <w:sz w:val="28"/>
          <w:szCs w:val="28"/>
          <w:lang w:val="uk-UA"/>
        </w:rPr>
        <w:t xml:space="preserve">]. </w:t>
      </w:r>
    </w:p>
    <w:p w:rsidR="00012F54" w:rsidRPr="00012F54" w:rsidRDefault="00012F54" w:rsidP="00B065B6">
      <w:pPr>
        <w:widowControl w:val="0"/>
        <w:shd w:val="clear" w:color="auto" w:fill="FFFFFF"/>
        <w:spacing w:after="0" w:line="36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Модель САК відтворювали ін'єкцією через катетер у САП (трепанаційний отвір локалізувався у місці аналогічному до попередньої моделі ВМК) гепаринізованоїаутокрові (0,1 мл/кг) [127</w:t>
      </w:r>
      <w:r w:rsidRPr="00012F54">
        <w:rPr>
          <w:rFonts w:ascii="Times New Roman" w:hAnsi="Times New Roman"/>
          <w:sz w:val="28"/>
          <w:szCs w:val="28"/>
          <w:lang w:val="uk-UA"/>
        </w:rPr>
        <w:t>–</w:t>
      </w:r>
      <w:r w:rsidRPr="00012F54">
        <w:rPr>
          <w:rFonts w:ascii="Times New Roman" w:eastAsia="TimesNewRomanPSMT" w:hAnsi="Times New Roman"/>
          <w:sz w:val="28"/>
          <w:szCs w:val="28"/>
          <w:lang w:val="uk-UA"/>
        </w:rPr>
        <w:t>129]. Обидві моделі віддзеркалюють клінічну картину ГІ, і є адекватними для доклінічного вивчення потенційних нейропротекторних речовин [12</w:t>
      </w:r>
      <w:r w:rsidRPr="00012F54">
        <w:rPr>
          <w:rFonts w:ascii="Times New Roman" w:eastAsia="TimesNewRomanPSMT" w:hAnsi="Times New Roman"/>
          <w:sz w:val="28"/>
          <w:szCs w:val="28"/>
        </w:rPr>
        <w:t>8</w:t>
      </w:r>
      <w:r w:rsidRPr="00012F54">
        <w:rPr>
          <w:rFonts w:ascii="Times New Roman" w:eastAsia="TimesNewRomanPSMT" w:hAnsi="Times New Roman"/>
          <w:sz w:val="28"/>
          <w:szCs w:val="28"/>
          <w:lang w:val="uk-UA"/>
        </w:rPr>
        <w:t>-1</w:t>
      </w:r>
      <w:r w:rsidRPr="00012F54">
        <w:rPr>
          <w:rFonts w:ascii="Times New Roman" w:eastAsia="TimesNewRomanPSMT" w:hAnsi="Times New Roman"/>
          <w:sz w:val="28"/>
          <w:szCs w:val="28"/>
        </w:rPr>
        <w:t>30</w:t>
      </w:r>
      <w:r w:rsidRPr="00012F54">
        <w:rPr>
          <w:rFonts w:ascii="Times New Roman" w:eastAsia="TimesNewRomanPSMT" w:hAnsi="Times New Roman"/>
          <w:sz w:val="28"/>
          <w:szCs w:val="28"/>
          <w:lang w:val="uk-UA"/>
        </w:rPr>
        <w:t xml:space="preserve">]. На перших етапах, при первинній оцінці нейропротекторної активності адемолупоріняно із референсами, особливо на етапі скринінгу ефективність оцінювали за виживаністю тварин (показник летальності у %). </w:t>
      </w:r>
    </w:p>
    <w:p w:rsidR="00012F54" w:rsidRPr="00012F54" w:rsidRDefault="00012F54" w:rsidP="00B065B6">
      <w:pPr>
        <w:widowControl w:val="0"/>
        <w:shd w:val="clear" w:color="auto" w:fill="FFFFFF"/>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Неврологічний статус (дефіцит) у щурів із ГІ верифікували за шкалою stroke-index C.P. McGraw [95], що є аналогом клінічної шкали ком Глазго, де оцінку проводять у балах. </w:t>
      </w:r>
    </w:p>
    <w:p w:rsidR="00012F54" w:rsidRPr="00012F54" w:rsidRDefault="00012F54" w:rsidP="00B065B6">
      <w:pPr>
        <w:widowControl w:val="0"/>
        <w:shd w:val="clear" w:color="auto" w:fill="FFFFFF"/>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Навчальну спроможність тварин з ГПМК виявляли за допомогою тесту умовної реакції пасивного уникання (УРПУ) [131]. </w:t>
      </w:r>
    </w:p>
    <w:p w:rsidR="00012F54" w:rsidRPr="00012F54" w:rsidRDefault="00012F54" w:rsidP="00B065B6">
      <w:pPr>
        <w:widowControl w:val="0"/>
        <w:shd w:val="clear" w:color="auto" w:fill="FFFFFF"/>
        <w:spacing w:after="0" w:line="36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Функціональні гемодинамічні показники вимірювали за допомогою електрофізіологічного обладнання Biopaс (США) (рис. 2.1</w:t>
      </w:r>
      <w:r w:rsidRPr="00012F54">
        <w:rPr>
          <w:rFonts w:ascii="Times New Roman" w:hAnsi="Times New Roman"/>
          <w:sz w:val="28"/>
          <w:szCs w:val="28"/>
          <w:lang w:val="uk-UA"/>
        </w:rPr>
        <w:t>–</w:t>
      </w:r>
      <w:r w:rsidRPr="00012F54">
        <w:rPr>
          <w:rFonts w:ascii="Times New Roman" w:eastAsia="TimesNewRomanPSMT" w:hAnsi="Times New Roman"/>
          <w:sz w:val="28"/>
          <w:szCs w:val="28"/>
          <w:lang w:val="uk-UA"/>
        </w:rPr>
        <w:t xml:space="preserve">2.3). </w:t>
      </w:r>
    </w:p>
    <w:p w:rsidR="00012F54" w:rsidRPr="00012F54" w:rsidRDefault="00012F54" w:rsidP="00B065B6">
      <w:pPr>
        <w:widowControl w:val="0"/>
        <w:shd w:val="clear" w:color="auto" w:fill="FFFFFF"/>
        <w:spacing w:after="0" w:line="36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 xml:space="preserve">Параметри церебрального кровоплину: показник обємної швидкості мозкового кровотоку (ОШМК) в мл/хв та коефіцієнт мікроциркуляції (коефіцієнт </w:t>
      </w:r>
      <w:r w:rsidRPr="00012F54">
        <w:rPr>
          <w:rFonts w:ascii="Times New Roman" w:eastAsia="TimesNewRomanPSMT" w:hAnsi="Times New Roman"/>
          <w:sz w:val="28"/>
          <w:szCs w:val="28"/>
          <w:lang w:val="uk-UA"/>
        </w:rPr>
        <w:lastRenderedPageBreak/>
        <w:t xml:space="preserve">мікроциркуляції) в у.о. при ГІ, вивчали в межах проекції середньої мозкової артерії (СМА), рис. 2.2. </w:t>
      </w:r>
    </w:p>
    <w:tbl>
      <w:tblPr>
        <w:tblW w:w="9356" w:type="dxa"/>
        <w:jc w:val="center"/>
        <w:tblLayout w:type="fixed"/>
        <w:tblLook w:val="01E0"/>
      </w:tblPr>
      <w:tblGrid>
        <w:gridCol w:w="4854"/>
        <w:gridCol w:w="4502"/>
      </w:tblGrid>
      <w:tr w:rsidR="00012F54" w:rsidRPr="00012F54" w:rsidTr="00012F54">
        <w:trPr>
          <w:trHeight w:val="454"/>
          <w:jc w:val="center"/>
        </w:trPr>
        <w:tc>
          <w:tcPr>
            <w:tcW w:w="4854" w:type="dxa"/>
            <w:shd w:val="clear" w:color="auto" w:fill="auto"/>
          </w:tcPr>
          <w:p w:rsidR="00012F54" w:rsidRPr="00012F54" w:rsidRDefault="00763508"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noProof/>
                <w:sz w:val="28"/>
                <w:szCs w:val="28"/>
                <w:lang w:val="uk-UA"/>
              </w:rPr>
              <w:object w:dxaOrig="420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0pt;height:164.2pt;mso-width-percent:0;mso-height-percent:0;mso-width-percent:0;mso-height-percent:0" o:ole="">
                  <v:imagedata r:id="rId8" o:title=""/>
                </v:shape>
                <o:OLEObject Type="Embed" ProgID="PBrush" ShapeID="_x0000_i1025" DrawAspect="Content" ObjectID="_1679123577" r:id="rId9"/>
              </w:object>
            </w:r>
          </w:p>
        </w:tc>
        <w:tc>
          <w:tcPr>
            <w:tcW w:w="4502" w:type="dxa"/>
            <w:shd w:val="clear" w:color="auto" w:fill="auto"/>
          </w:tcPr>
          <w:p w:rsidR="00012F54" w:rsidRPr="00012F54" w:rsidRDefault="00763508"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noProof/>
                <w:sz w:val="28"/>
                <w:szCs w:val="28"/>
                <w:lang w:val="uk-UA"/>
              </w:rPr>
              <w:object w:dxaOrig="4095" w:dyaOrig="3135">
                <v:shape id="_x0000_i1026" type="#_x0000_t75" alt="" style="width:220.05pt;height:164.2pt;mso-width-percent:0;mso-height-percent:0;mso-width-percent:0;mso-height-percent:0" o:ole="">
                  <v:imagedata r:id="rId10" o:title=""/>
                </v:shape>
                <o:OLEObject Type="Embed" ProgID="PBrush" ShapeID="_x0000_i1026" DrawAspect="Content" ObjectID="_1679123578" r:id="rId11"/>
              </w:object>
            </w:r>
          </w:p>
        </w:tc>
      </w:tr>
    </w:tbl>
    <w:p w:rsidR="00012F54" w:rsidRPr="00012F54" w:rsidRDefault="00012F54" w:rsidP="00B065B6">
      <w:pPr>
        <w:widowControl w:val="0"/>
        <w:shd w:val="clear" w:color="auto" w:fill="FFFFFF"/>
        <w:spacing w:after="0" w:line="360" w:lineRule="auto"/>
        <w:ind w:firstLine="284"/>
        <w:jc w:val="both"/>
        <w:rPr>
          <w:rFonts w:ascii="Times New Roman" w:eastAsia="TimesNewRomanPSMT" w:hAnsi="Times New Roman"/>
          <w:sz w:val="20"/>
          <w:szCs w:val="20"/>
          <w:lang w:val="uk-UA"/>
        </w:rPr>
      </w:pPr>
    </w:p>
    <w:p w:rsidR="00012F54" w:rsidRDefault="00012F54" w:rsidP="0015531A">
      <w:pPr>
        <w:widowControl w:val="0"/>
        <w:shd w:val="clear" w:color="auto" w:fill="FFFFFF"/>
        <w:spacing w:after="0" w:line="24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 xml:space="preserve">Рис. 2.1. Загальний вигляд експерименту при оцінці функціональних показників в умовах внутрішньочерепного крововиливу електрофізіологічним обладнанням Biopaс (США), де: 1 </w:t>
      </w:r>
      <w:r w:rsidRPr="00012F54">
        <w:rPr>
          <w:rFonts w:ascii="Times New Roman" w:hAnsi="Times New Roman"/>
          <w:sz w:val="28"/>
          <w:szCs w:val="28"/>
          <w:lang w:val="uk-UA"/>
        </w:rPr>
        <w:t>–</w:t>
      </w:r>
      <w:r w:rsidRPr="00012F54">
        <w:rPr>
          <w:rFonts w:ascii="Times New Roman" w:eastAsia="TimesNewRomanPSMT" w:hAnsi="Times New Roman"/>
          <w:sz w:val="28"/>
          <w:szCs w:val="28"/>
          <w:lang w:val="uk-UA"/>
        </w:rPr>
        <w:t xml:space="preserve"> накладений датчик для виміру сатурації крові кинем; 2 </w:t>
      </w:r>
      <w:r w:rsidRPr="00012F54">
        <w:rPr>
          <w:rFonts w:ascii="Times New Roman" w:hAnsi="Times New Roman"/>
          <w:sz w:val="28"/>
          <w:szCs w:val="28"/>
          <w:lang w:val="uk-UA"/>
        </w:rPr>
        <w:t>–</w:t>
      </w:r>
      <w:r w:rsidRPr="00012F54">
        <w:rPr>
          <w:rFonts w:ascii="Times New Roman" w:eastAsia="TimesNewRomanPSMT" w:hAnsi="Times New Roman"/>
          <w:sz w:val="28"/>
          <w:szCs w:val="28"/>
          <w:lang w:val="uk-UA"/>
        </w:rPr>
        <w:t xml:space="preserve">безконтактний (непрямий) вимір АТ; 3 </w:t>
      </w:r>
      <w:r w:rsidRPr="00012F54">
        <w:rPr>
          <w:rFonts w:ascii="Times New Roman" w:hAnsi="Times New Roman"/>
          <w:sz w:val="28"/>
          <w:szCs w:val="28"/>
          <w:lang w:val="uk-UA"/>
        </w:rPr>
        <w:t xml:space="preserve">– </w:t>
      </w:r>
      <w:r w:rsidRPr="00012F54">
        <w:rPr>
          <w:rFonts w:ascii="Times New Roman" w:eastAsia="TimesNewRomanPSMT" w:hAnsi="Times New Roman"/>
          <w:sz w:val="28"/>
          <w:szCs w:val="28"/>
          <w:lang w:val="uk-UA"/>
        </w:rPr>
        <w:t xml:space="preserve">контактний (прямий) вимір АТ за допомогою п’єзо-датчика, під’єднаного до катетера, розміщеного в стегновій артерії; 4 </w:t>
      </w:r>
      <w:r w:rsidRPr="00012F54">
        <w:rPr>
          <w:rFonts w:ascii="Times New Roman" w:hAnsi="Times New Roman"/>
          <w:sz w:val="28"/>
          <w:szCs w:val="28"/>
          <w:lang w:val="uk-UA"/>
        </w:rPr>
        <w:t xml:space="preserve">– </w:t>
      </w:r>
      <w:r w:rsidRPr="00012F54">
        <w:rPr>
          <w:rFonts w:ascii="Times New Roman" w:eastAsia="TimesNewRomanPSMT" w:hAnsi="Times New Roman"/>
          <w:sz w:val="28"/>
          <w:szCs w:val="28"/>
          <w:lang w:val="uk-UA"/>
        </w:rPr>
        <w:t xml:space="preserve">катетер в стегновій вені для реєстрації центрального венозного тиску; 5 </w:t>
      </w:r>
      <w:r w:rsidRPr="00012F54">
        <w:rPr>
          <w:rFonts w:ascii="Times New Roman" w:hAnsi="Times New Roman"/>
          <w:sz w:val="28"/>
          <w:szCs w:val="28"/>
          <w:lang w:val="uk-UA"/>
        </w:rPr>
        <w:t xml:space="preserve">– </w:t>
      </w:r>
      <w:r w:rsidRPr="00012F54">
        <w:rPr>
          <w:rFonts w:ascii="Times New Roman" w:eastAsia="TimesNewRomanPSMT" w:hAnsi="Times New Roman"/>
          <w:sz w:val="28"/>
          <w:szCs w:val="28"/>
          <w:lang w:val="uk-UA"/>
        </w:rPr>
        <w:t xml:space="preserve">датчик для контролю частоти дихання; 6 </w:t>
      </w:r>
      <w:r w:rsidRPr="00012F54">
        <w:rPr>
          <w:rFonts w:ascii="Times New Roman" w:hAnsi="Times New Roman"/>
          <w:sz w:val="28"/>
          <w:szCs w:val="28"/>
          <w:lang w:val="uk-UA"/>
        </w:rPr>
        <w:t xml:space="preserve">– </w:t>
      </w:r>
      <w:r w:rsidRPr="00012F54">
        <w:rPr>
          <w:rFonts w:ascii="Times New Roman" w:eastAsia="TimesNewRomanPSMT" w:hAnsi="Times New Roman"/>
          <w:sz w:val="28"/>
          <w:szCs w:val="28"/>
          <w:lang w:val="uk-UA"/>
        </w:rPr>
        <w:t xml:space="preserve">електроди для електрокардіографічного моніторингу; 7 </w:t>
      </w:r>
      <w:r w:rsidRPr="00012F54">
        <w:rPr>
          <w:rFonts w:ascii="Times New Roman" w:hAnsi="Times New Roman"/>
          <w:sz w:val="28"/>
          <w:szCs w:val="28"/>
          <w:lang w:val="uk-UA"/>
        </w:rPr>
        <w:t xml:space="preserve">– </w:t>
      </w:r>
      <w:r w:rsidRPr="00012F54">
        <w:rPr>
          <w:rFonts w:ascii="Times New Roman" w:eastAsia="TimesNewRomanPSMT" w:hAnsi="Times New Roman"/>
          <w:sz w:val="28"/>
          <w:szCs w:val="28"/>
          <w:lang w:val="uk-UA"/>
        </w:rPr>
        <w:t xml:space="preserve">термокамера; 8 </w:t>
      </w:r>
      <w:r w:rsidRPr="00012F54">
        <w:rPr>
          <w:rFonts w:ascii="Times New Roman" w:hAnsi="Times New Roman"/>
          <w:sz w:val="28"/>
          <w:szCs w:val="28"/>
          <w:lang w:val="uk-UA"/>
        </w:rPr>
        <w:t xml:space="preserve">– </w:t>
      </w:r>
      <w:r w:rsidRPr="00012F54">
        <w:rPr>
          <w:rFonts w:ascii="Times New Roman" w:eastAsia="TimesNewRomanPSMT" w:hAnsi="Times New Roman"/>
          <w:sz w:val="28"/>
          <w:szCs w:val="28"/>
          <w:lang w:val="uk-UA"/>
        </w:rPr>
        <w:t>конвектор</w:t>
      </w:r>
    </w:p>
    <w:p w:rsidR="00F7715E" w:rsidRDefault="00F7715E" w:rsidP="00B065B6">
      <w:pPr>
        <w:widowControl w:val="0"/>
        <w:shd w:val="clear" w:color="auto" w:fill="FFFFFF"/>
        <w:spacing w:after="0" w:line="360" w:lineRule="auto"/>
        <w:ind w:firstLine="284"/>
        <w:jc w:val="both"/>
        <w:rPr>
          <w:rFonts w:ascii="Times New Roman" w:eastAsia="TimesNewRomanPSMT" w:hAnsi="Times New Roman"/>
          <w:sz w:val="28"/>
          <w:szCs w:val="28"/>
          <w:lang w:val="uk-UA"/>
        </w:rPr>
      </w:pPr>
    </w:p>
    <w:p w:rsidR="00F7715E" w:rsidRPr="00012F54" w:rsidRDefault="00F7715E" w:rsidP="00B065B6">
      <w:pPr>
        <w:pStyle w:val="a5"/>
        <w:widowControl w:val="0"/>
        <w:shd w:val="clear" w:color="auto" w:fill="FFFFFF"/>
        <w:spacing w:after="0" w:line="360" w:lineRule="auto"/>
        <w:ind w:left="0"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На місце трепанаційного отвору накладався датчик для реєстрації відповідних цифрових даних.</w:t>
      </w:r>
    </w:p>
    <w:p w:rsidR="00F7715E" w:rsidRPr="00012F54" w:rsidRDefault="00F7715E" w:rsidP="00B065B6">
      <w:pPr>
        <w:widowControl w:val="0"/>
        <w:shd w:val="clear" w:color="auto" w:fill="FFFFFF"/>
        <w:spacing w:after="0" w:line="36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Аналогічним чином реєстрували зміни показника ступеня насичення крові киснем (SaO</w:t>
      </w:r>
      <w:r w:rsidRPr="00012F54">
        <w:rPr>
          <w:rFonts w:ascii="Times New Roman" w:eastAsia="TimesNewRomanPSMT" w:hAnsi="Times New Roman"/>
          <w:sz w:val="28"/>
          <w:szCs w:val="28"/>
          <w:vertAlign w:val="subscript"/>
          <w:lang w:val="uk-UA"/>
        </w:rPr>
        <w:t>2</w:t>
      </w:r>
      <w:r w:rsidRPr="00012F54">
        <w:rPr>
          <w:rFonts w:ascii="Times New Roman" w:eastAsia="TimesNewRomanPSMT" w:hAnsi="Times New Roman"/>
          <w:sz w:val="28"/>
          <w:szCs w:val="28"/>
          <w:lang w:val="uk-UA"/>
        </w:rPr>
        <w:t>, у % (рис. 2.3 (А)) в капілярах кори мозку за допомогою однойменного датчика Biopaс. АТ у мм.рт.ст., оцінювали непрямим (безкровним) методом на основі хвоста щура, зміни центра</w:t>
      </w:r>
      <w:r>
        <w:rPr>
          <w:rFonts w:ascii="Times New Roman" w:eastAsia="TimesNewRomanPSMT" w:hAnsi="Times New Roman"/>
          <w:sz w:val="28"/>
          <w:szCs w:val="28"/>
          <w:lang w:val="uk-UA"/>
        </w:rPr>
        <w:t xml:space="preserve">льного венозного тиску (ЦВТ, мм </w:t>
      </w:r>
      <w:r w:rsidRPr="00012F54">
        <w:rPr>
          <w:rFonts w:ascii="Times New Roman" w:eastAsia="TimesNewRomanPSMT" w:hAnsi="Times New Roman"/>
          <w:sz w:val="28"/>
          <w:szCs w:val="28"/>
          <w:lang w:val="uk-UA"/>
        </w:rPr>
        <w:t>водн.ст.), досліджували шляхом приєднання до канюлі катетера, який знаходився у правому передсерді, системи для в/в інфузій довжиною 5 см, яка заповнювалась 0,9 % розчином NaCl. Показник ЦВТ реєстрували у мм водного стовпчика за висотою рівня рідини в системі (нульовим рівнем слугувала lig. ingvinale), рис. 2.3 (Б). Катетеризацію правого шлуночка виконували через стегнову вену за методом Сельдінгера під контролем електрокардіограми (при торканні кінчиком катетера ендокарду відмічалась ескалація зубця Т). Правильність розташування катетерів у подальшому додатково верифікували на автопсії [10].</w:t>
      </w:r>
    </w:p>
    <w:p w:rsidR="00012F54" w:rsidRDefault="00D17BD3" w:rsidP="00B065B6">
      <w:pPr>
        <w:widowControl w:val="0"/>
        <w:shd w:val="clear" w:color="auto" w:fill="FFFFFF"/>
        <w:spacing w:after="0" w:line="36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lastRenderedPageBreak/>
        <w:t>ВЧТ, в у.о, вимірювали тонометром ICARE (Фінляндія), рис. 2.4, через трепанаційний отвір в черепі, після послідовної реєстрації коефіцієнта мікроциркуляції та SaO2.</w:t>
      </w:r>
    </w:p>
    <w:p w:rsidR="00763508" w:rsidRDefault="00763508" w:rsidP="00B065B6">
      <w:pPr>
        <w:widowControl w:val="0"/>
        <w:shd w:val="clear" w:color="auto" w:fill="FFFFFF"/>
        <w:spacing w:after="0" w:line="360" w:lineRule="auto"/>
        <w:ind w:firstLine="284"/>
        <w:jc w:val="both"/>
        <w:rPr>
          <w:rFonts w:ascii="Times New Roman" w:eastAsia="TimesNewRomanPSMT" w:hAnsi="Times New Roman"/>
          <w:sz w:val="28"/>
          <w:szCs w:val="28"/>
          <w:lang w:val="uk-UA"/>
        </w:rPr>
      </w:pPr>
    </w:p>
    <w:tbl>
      <w:tblPr>
        <w:tblW w:w="9356" w:type="dxa"/>
        <w:jc w:val="center"/>
        <w:tblLayout w:type="fixed"/>
        <w:tblLook w:val="01E0"/>
      </w:tblPr>
      <w:tblGrid>
        <w:gridCol w:w="4854"/>
        <w:gridCol w:w="4502"/>
      </w:tblGrid>
      <w:tr w:rsidR="00012F54" w:rsidRPr="00012F54" w:rsidTr="00012F54">
        <w:trPr>
          <w:trHeight w:val="454"/>
          <w:jc w:val="center"/>
        </w:trPr>
        <w:tc>
          <w:tcPr>
            <w:tcW w:w="4854" w:type="dxa"/>
            <w:shd w:val="clear" w:color="auto" w:fill="auto"/>
          </w:tcPr>
          <w:p w:rsidR="00012F54" w:rsidRPr="00012F54" w:rsidRDefault="00763508" w:rsidP="008137BA">
            <w:pPr>
              <w:widowControl w:val="0"/>
              <w:spacing w:after="0" w:line="360" w:lineRule="auto"/>
              <w:ind w:firstLine="284"/>
              <w:jc w:val="center"/>
              <w:rPr>
                <w:rFonts w:ascii="Times New Roman" w:hAnsi="Times New Roman"/>
                <w:noProof/>
                <w:sz w:val="28"/>
                <w:szCs w:val="28"/>
                <w:lang w:val="uk-UA"/>
              </w:rPr>
            </w:pPr>
            <w:r w:rsidRPr="00012F54">
              <w:rPr>
                <w:rFonts w:ascii="Times New Roman" w:hAnsi="Times New Roman"/>
                <w:noProof/>
                <w:sz w:val="28"/>
                <w:szCs w:val="28"/>
                <w:lang w:val="uk-UA"/>
              </w:rPr>
              <w:object w:dxaOrig="4140" w:dyaOrig="3075">
                <v:shape id="_x0000_i1027" type="#_x0000_t75" alt="" style="width:243.5pt;height:165.85pt;mso-width-percent:0;mso-height-percent:0;mso-width-percent:0;mso-height-percent:0" o:ole="">
                  <v:imagedata r:id="rId12" o:title=""/>
                </v:shape>
                <o:OLEObject Type="Embed" ProgID="PBrush" ShapeID="_x0000_i1027" DrawAspect="Content" ObjectID="_1679123579" r:id="rId13"/>
              </w:object>
            </w:r>
          </w:p>
        </w:tc>
        <w:tc>
          <w:tcPr>
            <w:tcW w:w="4502" w:type="dxa"/>
            <w:shd w:val="clear" w:color="auto" w:fill="auto"/>
          </w:tcPr>
          <w:p w:rsidR="00012F54" w:rsidRPr="00012F54" w:rsidRDefault="005D0FB9" w:rsidP="008137BA">
            <w:pPr>
              <w:widowControl w:val="0"/>
              <w:spacing w:after="0" w:line="360" w:lineRule="auto"/>
              <w:ind w:firstLine="284"/>
              <w:jc w:val="center"/>
              <w:rPr>
                <w:rFonts w:ascii="Times New Roman" w:hAnsi="Times New Roman"/>
                <w:sz w:val="28"/>
                <w:szCs w:val="28"/>
                <w:lang w:val="uk-UA"/>
              </w:rPr>
            </w:pPr>
            <w:r>
              <w:rPr>
                <w:rFonts w:ascii="Times New Roman" w:hAnsi="Times New Roman"/>
                <w:noProof/>
                <w:sz w:val="28"/>
                <w:szCs w:val="28"/>
              </w:rPr>
              <w:drawing>
                <wp:inline distT="0" distB="0" distL="0" distR="0">
                  <wp:extent cx="2806084" cy="2107096"/>
                  <wp:effectExtent l="0" t="0" r="0" b="762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8433" cy="2116369"/>
                          </a:xfrm>
                          <a:prstGeom prst="rect">
                            <a:avLst/>
                          </a:prstGeom>
                          <a:noFill/>
                          <a:ln>
                            <a:noFill/>
                          </a:ln>
                        </pic:spPr>
                      </pic:pic>
                    </a:graphicData>
                  </a:graphic>
                </wp:inline>
              </w:drawing>
            </w:r>
          </w:p>
        </w:tc>
      </w:tr>
      <w:tr w:rsidR="00012F54" w:rsidRPr="00012F54" w:rsidTr="00012F54">
        <w:trPr>
          <w:trHeight w:val="791"/>
          <w:jc w:val="center"/>
        </w:trPr>
        <w:tc>
          <w:tcPr>
            <w:tcW w:w="4854" w:type="dxa"/>
            <w:shd w:val="clear" w:color="auto" w:fill="auto"/>
          </w:tcPr>
          <w:p w:rsidR="00012F54" w:rsidRPr="00012F54" w:rsidRDefault="00012F54" w:rsidP="00B065B6">
            <w:pPr>
              <w:widowControl w:val="0"/>
              <w:spacing w:after="0" w:line="240" w:lineRule="auto"/>
              <w:ind w:firstLine="284"/>
              <w:jc w:val="both"/>
              <w:rPr>
                <w:rFonts w:ascii="Times New Roman" w:hAnsi="Times New Roman"/>
                <w:sz w:val="28"/>
                <w:szCs w:val="28"/>
                <w:lang w:val="uk-UA"/>
              </w:rPr>
            </w:pPr>
            <w:r w:rsidRPr="00012F54">
              <w:rPr>
                <w:rFonts w:ascii="Times New Roman" w:hAnsi="Times New Roman"/>
                <w:sz w:val="28"/>
                <w:szCs w:val="28"/>
                <w:lang w:val="uk-UA"/>
              </w:rPr>
              <w:t>А. Реестрація параметрів церебрального кровотоку</w:t>
            </w:r>
          </w:p>
        </w:tc>
        <w:tc>
          <w:tcPr>
            <w:tcW w:w="4502" w:type="dxa"/>
            <w:shd w:val="clear" w:color="auto" w:fill="auto"/>
          </w:tcPr>
          <w:p w:rsidR="00012F54" w:rsidRPr="00012F54" w:rsidRDefault="00012F54" w:rsidP="00B065B6">
            <w:pPr>
              <w:widowControl w:val="0"/>
              <w:spacing w:after="0" w:line="24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Б. Скрін-шот з монітору при записі функціональних показників </w:t>
            </w:r>
          </w:p>
        </w:tc>
      </w:tr>
    </w:tbl>
    <w:p w:rsidR="00763508" w:rsidRDefault="00763508" w:rsidP="008137BA">
      <w:pPr>
        <w:widowControl w:val="0"/>
        <w:shd w:val="clear" w:color="auto" w:fill="FFFFFF"/>
        <w:spacing w:after="0" w:line="240" w:lineRule="auto"/>
        <w:ind w:firstLine="284"/>
        <w:jc w:val="both"/>
        <w:rPr>
          <w:rFonts w:ascii="Times New Roman" w:eastAsia="TimesNewRomanPSMT" w:hAnsi="Times New Roman"/>
          <w:sz w:val="28"/>
          <w:szCs w:val="28"/>
          <w:lang w:val="uk-UA"/>
        </w:rPr>
      </w:pPr>
    </w:p>
    <w:p w:rsidR="00012F54" w:rsidRDefault="00012F54" w:rsidP="008137BA">
      <w:pPr>
        <w:widowControl w:val="0"/>
        <w:shd w:val="clear" w:color="auto" w:fill="FFFFFF"/>
        <w:spacing w:after="0" w:line="24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 xml:space="preserve">Рис. 2.2. Загальний вигляд експерименту при оцінці </w:t>
      </w:r>
      <w:r w:rsidRPr="00012F54">
        <w:rPr>
          <w:rFonts w:ascii="Times New Roman" w:hAnsi="Times New Roman"/>
          <w:sz w:val="28"/>
          <w:szCs w:val="28"/>
          <w:lang w:val="uk-UA"/>
        </w:rPr>
        <w:t>параметрів церебрального кровотоку</w:t>
      </w:r>
      <w:r w:rsidRPr="00012F54">
        <w:rPr>
          <w:rFonts w:ascii="Times New Roman" w:eastAsia="TimesNewRomanPSMT" w:hAnsi="Times New Roman"/>
          <w:sz w:val="28"/>
          <w:szCs w:val="28"/>
          <w:lang w:val="uk-UA"/>
        </w:rPr>
        <w:t xml:space="preserve"> (А) та вивід і візуалізація значень функціональних показників на монітор (Б), де: 1 </w:t>
      </w:r>
      <w:r w:rsidRPr="00012F54">
        <w:rPr>
          <w:rFonts w:ascii="Times New Roman" w:hAnsi="Times New Roman"/>
          <w:sz w:val="28"/>
          <w:szCs w:val="28"/>
          <w:lang w:val="uk-UA"/>
        </w:rPr>
        <w:t xml:space="preserve">– </w:t>
      </w:r>
      <w:r w:rsidRPr="00012F54">
        <w:rPr>
          <w:rFonts w:ascii="Times New Roman" w:eastAsia="TimesNewRomanPSMT" w:hAnsi="Times New Roman"/>
          <w:sz w:val="28"/>
          <w:szCs w:val="28"/>
          <w:lang w:val="uk-UA"/>
        </w:rPr>
        <w:t xml:space="preserve">датчик в проекції середньої мозкової артерії (А) та значення на моніторі (Б); 2 </w:t>
      </w:r>
      <w:r w:rsidRPr="00012F54">
        <w:rPr>
          <w:rFonts w:ascii="Times New Roman" w:hAnsi="Times New Roman"/>
          <w:sz w:val="28"/>
          <w:szCs w:val="28"/>
          <w:lang w:val="uk-UA"/>
        </w:rPr>
        <w:t xml:space="preserve">– </w:t>
      </w:r>
      <w:r w:rsidRPr="00012F54">
        <w:rPr>
          <w:rFonts w:ascii="Times New Roman" w:eastAsia="TimesNewRomanPSMT" w:hAnsi="Times New Roman"/>
          <w:sz w:val="28"/>
          <w:szCs w:val="28"/>
          <w:lang w:val="uk-UA"/>
        </w:rPr>
        <w:t xml:space="preserve">накладений датчик для виміру сатурації крові кинем (А) та значення на моніторі (Б); 3 </w:t>
      </w:r>
      <w:r w:rsidRPr="00012F54">
        <w:rPr>
          <w:rFonts w:ascii="Times New Roman" w:hAnsi="Times New Roman"/>
          <w:sz w:val="28"/>
          <w:szCs w:val="28"/>
          <w:lang w:val="uk-UA"/>
        </w:rPr>
        <w:t xml:space="preserve">– </w:t>
      </w:r>
      <w:r w:rsidRPr="00012F54">
        <w:rPr>
          <w:rFonts w:ascii="Times New Roman" w:eastAsia="TimesNewRomanPSMT" w:hAnsi="Times New Roman"/>
          <w:sz w:val="28"/>
          <w:szCs w:val="28"/>
          <w:lang w:val="uk-UA"/>
        </w:rPr>
        <w:t xml:space="preserve">значення артільного тиску при контактному способі виміру; 4 </w:t>
      </w:r>
      <w:r w:rsidRPr="00012F54">
        <w:rPr>
          <w:rFonts w:ascii="Times New Roman" w:hAnsi="Times New Roman"/>
          <w:sz w:val="28"/>
          <w:szCs w:val="28"/>
          <w:lang w:val="uk-UA"/>
        </w:rPr>
        <w:t xml:space="preserve">– </w:t>
      </w:r>
      <w:r w:rsidRPr="00012F54">
        <w:rPr>
          <w:rFonts w:ascii="Times New Roman" w:eastAsia="TimesNewRomanPSMT" w:hAnsi="Times New Roman"/>
          <w:sz w:val="28"/>
          <w:szCs w:val="28"/>
          <w:lang w:val="uk-UA"/>
        </w:rPr>
        <w:t xml:space="preserve">значення центрального венозного тиску при контактному способі виміру; 5 </w:t>
      </w:r>
      <w:r w:rsidRPr="00012F54">
        <w:rPr>
          <w:rFonts w:ascii="Times New Roman" w:hAnsi="Times New Roman"/>
          <w:sz w:val="28"/>
          <w:szCs w:val="28"/>
          <w:lang w:val="uk-UA"/>
        </w:rPr>
        <w:t xml:space="preserve">– </w:t>
      </w:r>
      <w:r w:rsidRPr="00012F54">
        <w:rPr>
          <w:rFonts w:ascii="Times New Roman" w:eastAsia="TimesNewRomanPSMT" w:hAnsi="Times New Roman"/>
          <w:sz w:val="28"/>
          <w:szCs w:val="28"/>
          <w:lang w:val="uk-UA"/>
        </w:rPr>
        <w:t>дані електрокардіограми в стандартних відведеннях</w:t>
      </w:r>
    </w:p>
    <w:p w:rsidR="00336094" w:rsidRPr="00012F54" w:rsidRDefault="00336094" w:rsidP="00B065B6">
      <w:pPr>
        <w:widowControl w:val="0"/>
        <w:shd w:val="clear" w:color="auto" w:fill="FFFFFF"/>
        <w:spacing w:after="0" w:line="360" w:lineRule="auto"/>
        <w:ind w:firstLine="284"/>
        <w:jc w:val="both"/>
        <w:rPr>
          <w:rFonts w:ascii="Times New Roman" w:eastAsia="TimesNewRomanPSMT" w:hAnsi="Times New Roman"/>
          <w:sz w:val="28"/>
          <w:szCs w:val="28"/>
          <w:lang w:val="uk-UA"/>
        </w:rPr>
      </w:pPr>
    </w:p>
    <w:tbl>
      <w:tblPr>
        <w:tblW w:w="10098" w:type="dxa"/>
        <w:tblInd w:w="108" w:type="dxa"/>
        <w:tblLayout w:type="fixed"/>
        <w:tblLook w:val="01E0"/>
      </w:tblPr>
      <w:tblGrid>
        <w:gridCol w:w="4854"/>
        <w:gridCol w:w="5244"/>
      </w:tblGrid>
      <w:tr w:rsidR="00012F54" w:rsidRPr="00012F54" w:rsidTr="008137BA">
        <w:trPr>
          <w:trHeight w:val="454"/>
        </w:trPr>
        <w:tc>
          <w:tcPr>
            <w:tcW w:w="4854" w:type="dxa"/>
            <w:shd w:val="clear" w:color="auto" w:fill="auto"/>
          </w:tcPr>
          <w:p w:rsidR="00012F54" w:rsidRPr="00012F54" w:rsidRDefault="005D0FB9" w:rsidP="008137BA">
            <w:pPr>
              <w:widowControl w:val="0"/>
              <w:spacing w:after="0" w:line="240" w:lineRule="auto"/>
              <w:ind w:firstLine="284"/>
              <w:jc w:val="center"/>
              <w:rPr>
                <w:rFonts w:ascii="Times New Roman" w:hAnsi="Times New Roman"/>
                <w:sz w:val="28"/>
                <w:szCs w:val="28"/>
                <w:lang w:val="uk-UA"/>
              </w:rPr>
            </w:pPr>
            <w:r>
              <w:rPr>
                <w:rFonts w:ascii="Times New Roman" w:hAnsi="Times New Roman"/>
                <w:noProof/>
                <w:sz w:val="28"/>
                <w:szCs w:val="28"/>
              </w:rPr>
              <w:drawing>
                <wp:inline distT="0" distB="0" distL="0" distR="0">
                  <wp:extent cx="3053413" cy="2266122"/>
                  <wp:effectExtent l="0" t="0" r="0" b="127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9759" cy="2278253"/>
                          </a:xfrm>
                          <a:prstGeom prst="rect">
                            <a:avLst/>
                          </a:prstGeom>
                          <a:noFill/>
                          <a:ln>
                            <a:noFill/>
                          </a:ln>
                        </pic:spPr>
                      </pic:pic>
                    </a:graphicData>
                  </a:graphic>
                </wp:inline>
              </w:drawing>
            </w:r>
          </w:p>
        </w:tc>
        <w:tc>
          <w:tcPr>
            <w:tcW w:w="5244" w:type="dxa"/>
            <w:shd w:val="clear" w:color="auto" w:fill="auto"/>
          </w:tcPr>
          <w:p w:rsidR="00012F54" w:rsidRPr="00012F54" w:rsidRDefault="005D0FB9" w:rsidP="008137BA">
            <w:pPr>
              <w:widowControl w:val="0"/>
              <w:spacing w:after="0" w:line="240" w:lineRule="auto"/>
              <w:ind w:firstLine="284"/>
              <w:jc w:val="center"/>
              <w:rPr>
                <w:rFonts w:ascii="Times New Roman" w:hAnsi="Times New Roman"/>
                <w:sz w:val="28"/>
                <w:szCs w:val="28"/>
                <w:lang w:val="uk-UA"/>
              </w:rPr>
            </w:pPr>
            <w:r>
              <w:rPr>
                <w:rFonts w:ascii="Times New Roman" w:hAnsi="Times New Roman"/>
                <w:noProof/>
                <w:sz w:val="28"/>
                <w:szCs w:val="28"/>
              </w:rPr>
              <w:drawing>
                <wp:inline distT="0" distB="0" distL="0" distR="0">
                  <wp:extent cx="3154181" cy="2265680"/>
                  <wp:effectExtent l="0" t="0" r="8255" b="127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7517" cy="2275259"/>
                          </a:xfrm>
                          <a:prstGeom prst="rect">
                            <a:avLst/>
                          </a:prstGeom>
                          <a:noFill/>
                          <a:ln>
                            <a:noFill/>
                          </a:ln>
                        </pic:spPr>
                      </pic:pic>
                    </a:graphicData>
                  </a:graphic>
                </wp:inline>
              </w:drawing>
            </w:r>
          </w:p>
        </w:tc>
      </w:tr>
      <w:tr w:rsidR="00012F54" w:rsidRPr="00012F54" w:rsidTr="008137BA">
        <w:trPr>
          <w:trHeight w:val="868"/>
        </w:trPr>
        <w:tc>
          <w:tcPr>
            <w:tcW w:w="4854" w:type="dxa"/>
            <w:shd w:val="clear" w:color="auto" w:fill="auto"/>
          </w:tcPr>
          <w:p w:rsidR="00012F54" w:rsidRPr="00012F54" w:rsidRDefault="00012F54" w:rsidP="00B065B6">
            <w:pPr>
              <w:widowControl w:val="0"/>
              <w:spacing w:before="120" w:after="0" w:line="24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А. Скрін-шот з монітору із параметрами АТ та </w:t>
            </w:r>
            <w:r w:rsidRPr="00012F54">
              <w:rPr>
                <w:rFonts w:ascii="Times New Roman" w:eastAsia="TimesNewRomanPSMT" w:hAnsi="Times New Roman"/>
                <w:sz w:val="28"/>
                <w:szCs w:val="28"/>
                <w:lang w:val="uk-UA"/>
              </w:rPr>
              <w:t>SaO</w:t>
            </w:r>
            <w:r w:rsidRPr="00012F54">
              <w:rPr>
                <w:rFonts w:ascii="Times New Roman" w:eastAsia="TimesNewRomanPSMT" w:hAnsi="Times New Roman"/>
                <w:sz w:val="28"/>
                <w:szCs w:val="28"/>
                <w:vertAlign w:val="subscript"/>
                <w:lang w:val="uk-UA"/>
              </w:rPr>
              <w:t>2</w:t>
            </w:r>
          </w:p>
        </w:tc>
        <w:tc>
          <w:tcPr>
            <w:tcW w:w="5244" w:type="dxa"/>
            <w:shd w:val="clear" w:color="auto" w:fill="auto"/>
          </w:tcPr>
          <w:p w:rsidR="00012F54" w:rsidRPr="00012F54" w:rsidRDefault="00012F54" w:rsidP="00B065B6">
            <w:pPr>
              <w:pStyle w:val="13"/>
              <w:widowControl w:val="0"/>
              <w:spacing w:before="120"/>
              <w:ind w:firstLine="284"/>
              <w:rPr>
                <w:szCs w:val="28"/>
              </w:rPr>
            </w:pPr>
            <w:r w:rsidRPr="00012F54">
              <w:rPr>
                <w:szCs w:val="28"/>
              </w:rPr>
              <w:t>Б. Скрін-шот з монітору із параметрами центрального венозного тиску</w:t>
            </w:r>
          </w:p>
        </w:tc>
      </w:tr>
      <w:tr w:rsidR="00012F54" w:rsidRPr="00012F54" w:rsidTr="008137BA">
        <w:trPr>
          <w:trHeight w:val="3777"/>
        </w:trPr>
        <w:tc>
          <w:tcPr>
            <w:tcW w:w="10098" w:type="dxa"/>
            <w:gridSpan w:val="2"/>
            <w:shd w:val="clear" w:color="auto" w:fill="auto"/>
          </w:tcPr>
          <w:p w:rsidR="00012F54" w:rsidRPr="00012F54" w:rsidRDefault="005D0FB9" w:rsidP="00B065B6">
            <w:pPr>
              <w:pStyle w:val="13"/>
              <w:widowControl w:val="0"/>
              <w:spacing w:before="120"/>
              <w:ind w:firstLine="284"/>
              <w:jc w:val="center"/>
              <w:rPr>
                <w:szCs w:val="28"/>
              </w:rPr>
            </w:pPr>
            <w:r>
              <w:rPr>
                <w:noProof/>
                <w:szCs w:val="28"/>
                <w:lang w:val="ru-RU" w:eastAsia="ru-RU"/>
              </w:rPr>
              <w:lastRenderedPageBreak/>
              <w:drawing>
                <wp:inline distT="0" distB="0" distL="0" distR="0">
                  <wp:extent cx="2961677" cy="2226365"/>
                  <wp:effectExtent l="0" t="0" r="0" b="254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9175" cy="2232001"/>
                          </a:xfrm>
                          <a:prstGeom prst="rect">
                            <a:avLst/>
                          </a:prstGeom>
                          <a:noFill/>
                          <a:ln>
                            <a:noFill/>
                          </a:ln>
                        </pic:spPr>
                      </pic:pic>
                    </a:graphicData>
                  </a:graphic>
                </wp:inline>
              </w:drawing>
            </w:r>
          </w:p>
          <w:p w:rsidR="00012F54" w:rsidRPr="00012F54" w:rsidRDefault="00012F54" w:rsidP="00B065B6">
            <w:pPr>
              <w:pStyle w:val="13"/>
              <w:widowControl w:val="0"/>
              <w:spacing w:before="120"/>
              <w:ind w:firstLine="284"/>
              <w:jc w:val="center"/>
              <w:rPr>
                <w:szCs w:val="28"/>
              </w:rPr>
            </w:pPr>
            <w:r w:rsidRPr="00012F54">
              <w:rPr>
                <w:szCs w:val="28"/>
              </w:rPr>
              <w:t>В.</w:t>
            </w:r>
            <w:r w:rsidRPr="00012F54">
              <w:rPr>
                <w:rFonts w:eastAsia="TimesNewRomanPSMT"/>
                <w:szCs w:val="28"/>
              </w:rPr>
              <w:t>Загальний вигляд електрофізіологічного обладнання Biopaс (США)</w:t>
            </w:r>
          </w:p>
        </w:tc>
      </w:tr>
    </w:tbl>
    <w:p w:rsidR="00012F54" w:rsidRPr="00336094" w:rsidRDefault="00012F54" w:rsidP="00B065B6">
      <w:pPr>
        <w:widowControl w:val="0"/>
        <w:shd w:val="clear" w:color="auto" w:fill="FFFFFF"/>
        <w:spacing w:after="0" w:line="360" w:lineRule="auto"/>
        <w:ind w:firstLine="284"/>
        <w:jc w:val="both"/>
        <w:rPr>
          <w:rFonts w:ascii="Times New Roman" w:eastAsia="TimesNewRomanPSMT" w:hAnsi="Times New Roman"/>
          <w:sz w:val="16"/>
          <w:szCs w:val="16"/>
          <w:lang w:val="uk-UA"/>
        </w:rPr>
      </w:pPr>
    </w:p>
    <w:p w:rsidR="00012F54" w:rsidRPr="00012F54" w:rsidRDefault="00012F54" w:rsidP="00B065B6">
      <w:pPr>
        <w:widowControl w:val="0"/>
        <w:shd w:val="clear" w:color="auto" w:fill="FFFFFF"/>
        <w:spacing w:after="0" w:line="36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Рис. 2.3. Е</w:t>
      </w:r>
      <w:r w:rsidRPr="00012F54">
        <w:rPr>
          <w:rFonts w:ascii="Times New Roman" w:eastAsia="TimesNewRomanPSMT" w:hAnsi="Times New Roman"/>
          <w:sz w:val="28"/>
          <w:szCs w:val="28"/>
        </w:rPr>
        <w:t>лектрофізіологічн</w:t>
      </w:r>
      <w:r w:rsidRPr="00012F54">
        <w:rPr>
          <w:rFonts w:ascii="Times New Roman" w:eastAsia="TimesNewRomanPSMT" w:hAnsi="Times New Roman"/>
          <w:sz w:val="28"/>
          <w:szCs w:val="28"/>
          <w:lang w:val="uk-UA"/>
        </w:rPr>
        <w:t>е</w:t>
      </w:r>
      <w:r w:rsidRPr="00012F54">
        <w:rPr>
          <w:rFonts w:ascii="Times New Roman" w:eastAsia="TimesNewRomanPSMT" w:hAnsi="Times New Roman"/>
          <w:sz w:val="28"/>
          <w:szCs w:val="28"/>
        </w:rPr>
        <w:t>обладнанняBiopaс (США)</w:t>
      </w:r>
    </w:p>
    <w:p w:rsidR="00012F54" w:rsidRPr="00012F54" w:rsidRDefault="00012F54" w:rsidP="00B065B6">
      <w:pPr>
        <w:widowControl w:val="0"/>
        <w:shd w:val="clear" w:color="auto" w:fill="FFFFFF"/>
        <w:spacing w:after="0" w:line="360" w:lineRule="auto"/>
        <w:ind w:firstLine="284"/>
        <w:jc w:val="both"/>
        <w:rPr>
          <w:rFonts w:ascii="Times New Roman" w:eastAsia="TimesNewRomanPSMT" w:hAnsi="Times New Roman"/>
          <w:sz w:val="28"/>
          <w:szCs w:val="28"/>
          <w:lang w:val="uk-UA"/>
        </w:rPr>
      </w:pPr>
    </w:p>
    <w:tbl>
      <w:tblPr>
        <w:tblW w:w="9356" w:type="dxa"/>
        <w:jc w:val="center"/>
        <w:tblLayout w:type="fixed"/>
        <w:tblLook w:val="01E0"/>
      </w:tblPr>
      <w:tblGrid>
        <w:gridCol w:w="4854"/>
        <w:gridCol w:w="4502"/>
      </w:tblGrid>
      <w:tr w:rsidR="00012F54" w:rsidRPr="00012F54" w:rsidTr="00012F54">
        <w:trPr>
          <w:trHeight w:val="454"/>
          <w:jc w:val="center"/>
        </w:trPr>
        <w:tc>
          <w:tcPr>
            <w:tcW w:w="4854" w:type="dxa"/>
            <w:shd w:val="clear" w:color="auto" w:fill="auto"/>
          </w:tcPr>
          <w:p w:rsidR="00012F54" w:rsidRPr="00012F54" w:rsidRDefault="00012F54" w:rsidP="00B065B6">
            <w:pPr>
              <w:widowControl w:val="0"/>
              <w:spacing w:after="0" w:line="240" w:lineRule="auto"/>
              <w:ind w:firstLine="284"/>
              <w:jc w:val="both"/>
              <w:rPr>
                <w:rFonts w:ascii="Times New Roman" w:hAnsi="Times New Roman"/>
                <w:sz w:val="28"/>
                <w:szCs w:val="28"/>
                <w:lang w:val="uk-UA"/>
              </w:rPr>
            </w:pPr>
            <w:r w:rsidRPr="00012F54">
              <w:rPr>
                <w:rFonts w:ascii="Times New Roman" w:eastAsia="TimesNewRomanPSMT" w:hAnsi="Times New Roman"/>
                <w:noProof/>
                <w:sz w:val="28"/>
                <w:szCs w:val="28"/>
              </w:rPr>
              <w:drawing>
                <wp:inline distT="0" distB="0" distL="0" distR="0">
                  <wp:extent cx="2997784" cy="2266122"/>
                  <wp:effectExtent l="0" t="0" r="0" b="1270"/>
                  <wp:docPr id="3" name="Рисунок 3" descr="C:\Users\Admin\AppData\Local\Microsoft\Windows\INetCache\Content.Word\20150305_17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Admin\AppData\Local\Microsoft\Windows\INetCache\Content.Word\20150305_170753.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006298" cy="2272558"/>
                          </a:xfrm>
                          <a:prstGeom prst="rect">
                            <a:avLst/>
                          </a:prstGeom>
                          <a:noFill/>
                          <a:ln>
                            <a:noFill/>
                          </a:ln>
                        </pic:spPr>
                      </pic:pic>
                    </a:graphicData>
                  </a:graphic>
                </wp:inline>
              </w:drawing>
            </w:r>
          </w:p>
        </w:tc>
        <w:tc>
          <w:tcPr>
            <w:tcW w:w="4502" w:type="dxa"/>
            <w:shd w:val="clear" w:color="auto" w:fill="auto"/>
          </w:tcPr>
          <w:p w:rsidR="00012F54" w:rsidRPr="00012F54" w:rsidRDefault="00012F54" w:rsidP="00B065B6">
            <w:pPr>
              <w:widowControl w:val="0"/>
              <w:spacing w:after="0" w:line="240" w:lineRule="auto"/>
              <w:ind w:firstLine="284"/>
              <w:jc w:val="both"/>
              <w:rPr>
                <w:rFonts w:ascii="Times New Roman" w:hAnsi="Times New Roman"/>
                <w:sz w:val="28"/>
                <w:szCs w:val="28"/>
                <w:lang w:val="uk-UA"/>
              </w:rPr>
            </w:pPr>
            <w:r w:rsidRPr="00012F54">
              <w:rPr>
                <w:rFonts w:ascii="Times New Roman" w:hAnsi="Times New Roman"/>
                <w:noProof/>
                <w:sz w:val="28"/>
                <w:szCs w:val="28"/>
              </w:rPr>
              <w:drawing>
                <wp:inline distT="0" distB="0" distL="0" distR="0">
                  <wp:extent cx="2631439" cy="2265680"/>
                  <wp:effectExtent l="0" t="0" r="0" b="1270"/>
                  <wp:docPr id="4" name="Рисунок 4" descr="Partec_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artec_PAS"/>
                          <pic:cNvPicPr>
                            <a:picLocks noChangeAspect="1" noChangeArrowheads="1"/>
                          </pic:cNvPicPr>
                        </pic:nvPicPr>
                        <pic:blipFill>
                          <a:blip r:embed="rId19" cstate="email">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639869" cy="2272938"/>
                          </a:xfrm>
                          <a:prstGeom prst="rect">
                            <a:avLst/>
                          </a:prstGeom>
                          <a:noFill/>
                          <a:ln>
                            <a:noFill/>
                          </a:ln>
                        </pic:spPr>
                      </pic:pic>
                    </a:graphicData>
                  </a:graphic>
                </wp:inline>
              </w:drawing>
            </w:r>
          </w:p>
        </w:tc>
      </w:tr>
      <w:tr w:rsidR="00012F54" w:rsidRPr="00012F54" w:rsidTr="00012F54">
        <w:trPr>
          <w:trHeight w:val="868"/>
          <w:jc w:val="center"/>
        </w:trPr>
        <w:tc>
          <w:tcPr>
            <w:tcW w:w="4854" w:type="dxa"/>
            <w:shd w:val="clear" w:color="auto" w:fill="auto"/>
          </w:tcPr>
          <w:p w:rsidR="00012F54" w:rsidRPr="00012F54" w:rsidRDefault="00012F54" w:rsidP="00B065B6">
            <w:pPr>
              <w:widowControl w:val="0"/>
              <w:spacing w:before="120" w:after="0" w:line="240" w:lineRule="auto"/>
              <w:ind w:firstLine="284"/>
              <w:jc w:val="both"/>
              <w:rPr>
                <w:rFonts w:ascii="Times New Roman" w:hAnsi="Times New Roman"/>
                <w:sz w:val="28"/>
                <w:szCs w:val="28"/>
                <w:lang w:val="uk-UA"/>
              </w:rPr>
            </w:pPr>
            <w:r w:rsidRPr="00012F54">
              <w:rPr>
                <w:rFonts w:ascii="Times New Roman" w:hAnsi="Times New Roman"/>
                <w:sz w:val="28"/>
                <w:szCs w:val="28"/>
                <w:lang w:val="uk-UA"/>
              </w:rPr>
              <w:t>А. Загальний вигляд тонометру ICARE (Фінляндія)</w:t>
            </w:r>
          </w:p>
        </w:tc>
        <w:tc>
          <w:tcPr>
            <w:tcW w:w="4502" w:type="dxa"/>
            <w:shd w:val="clear" w:color="auto" w:fill="auto"/>
          </w:tcPr>
          <w:p w:rsidR="00012F54" w:rsidRPr="00012F54" w:rsidRDefault="00012F54" w:rsidP="00B065B6">
            <w:pPr>
              <w:pStyle w:val="13"/>
              <w:widowControl w:val="0"/>
              <w:spacing w:before="120"/>
              <w:ind w:firstLine="284"/>
              <w:rPr>
                <w:szCs w:val="28"/>
              </w:rPr>
            </w:pPr>
            <w:r w:rsidRPr="00012F54">
              <w:rPr>
                <w:szCs w:val="28"/>
              </w:rPr>
              <w:t>Б. Проточний цитометр PARTEC „PAS”, Німеччина</w:t>
            </w:r>
          </w:p>
        </w:tc>
      </w:tr>
    </w:tbl>
    <w:p w:rsidR="00012F54" w:rsidRPr="00012F54" w:rsidRDefault="00012F54" w:rsidP="00B065B6">
      <w:pPr>
        <w:widowControl w:val="0"/>
        <w:shd w:val="clear" w:color="auto" w:fill="FFFFFF"/>
        <w:spacing w:after="0" w:line="360" w:lineRule="auto"/>
        <w:ind w:firstLine="284"/>
        <w:jc w:val="both"/>
        <w:rPr>
          <w:rFonts w:ascii="Times New Roman" w:hAnsi="Times New Roman"/>
          <w:sz w:val="28"/>
          <w:szCs w:val="28"/>
          <w:lang w:val="uk-UA"/>
        </w:rPr>
      </w:pPr>
    </w:p>
    <w:p w:rsidR="00012F54" w:rsidRDefault="00012F54" w:rsidP="008137BA">
      <w:pPr>
        <w:widowControl w:val="0"/>
        <w:shd w:val="clear" w:color="auto" w:fill="FFFFFF"/>
        <w:tabs>
          <w:tab w:val="left" w:pos="284"/>
        </w:tabs>
        <w:spacing w:after="0" w:line="240" w:lineRule="auto"/>
        <w:ind w:firstLine="284"/>
        <w:jc w:val="both"/>
        <w:rPr>
          <w:rFonts w:ascii="Times New Roman" w:hAnsi="Times New Roman"/>
          <w:sz w:val="28"/>
          <w:szCs w:val="28"/>
          <w:lang w:val="uk-UA"/>
        </w:rPr>
      </w:pPr>
      <w:r w:rsidRPr="00012F54">
        <w:rPr>
          <w:rFonts w:ascii="Times New Roman" w:hAnsi="Times New Roman"/>
          <w:sz w:val="28"/>
          <w:szCs w:val="28"/>
          <w:lang w:val="uk-UA"/>
        </w:rPr>
        <w:t>Рис. 2.4. Обладнання для виміру внутрішньочерепного тиску (А) та протокові-цитометричного аналізу (Б)</w:t>
      </w:r>
    </w:p>
    <w:p w:rsidR="008137BA" w:rsidRDefault="008137BA" w:rsidP="008137BA">
      <w:pPr>
        <w:widowControl w:val="0"/>
        <w:shd w:val="clear" w:color="auto" w:fill="FFFFFF"/>
        <w:spacing w:after="0" w:line="360" w:lineRule="auto"/>
        <w:ind w:firstLine="284"/>
        <w:jc w:val="both"/>
        <w:rPr>
          <w:rFonts w:ascii="Times New Roman" w:eastAsia="TimesNewRomanPSMT" w:hAnsi="Times New Roman"/>
          <w:sz w:val="28"/>
          <w:szCs w:val="28"/>
          <w:lang w:val="uk-UA"/>
        </w:rPr>
      </w:pPr>
    </w:p>
    <w:p w:rsidR="008137BA" w:rsidRPr="00F15182" w:rsidRDefault="008137BA" w:rsidP="008137BA">
      <w:pPr>
        <w:widowControl w:val="0"/>
        <w:shd w:val="clear" w:color="auto" w:fill="FFFFFF"/>
        <w:spacing w:after="0" w:line="360" w:lineRule="auto"/>
        <w:ind w:firstLine="284"/>
        <w:jc w:val="both"/>
        <w:rPr>
          <w:rFonts w:ascii="Times New Roman" w:eastAsia="TimesNewRomanPSMT" w:hAnsi="Times New Roman"/>
          <w:sz w:val="28"/>
          <w:szCs w:val="28"/>
          <w:lang w:val="uk-UA"/>
        </w:rPr>
      </w:pPr>
      <w:r w:rsidRPr="00F15182">
        <w:rPr>
          <w:rFonts w:ascii="Times New Roman" w:eastAsia="TimesNewRomanPSMT" w:hAnsi="Times New Roman"/>
          <w:sz w:val="28"/>
          <w:szCs w:val="28"/>
          <w:lang w:val="uk-UA"/>
        </w:rPr>
        <w:t>Після стабілізації параметрів досліджуваних показників (через 20 хв. після маніпуляції) визначали їх вихідні (фонові рівні). Повторний вимір здійснювався наприкінці (4 доба).</w:t>
      </w:r>
    </w:p>
    <w:p w:rsidR="00012F54" w:rsidRPr="005879AB" w:rsidRDefault="00012F54" w:rsidP="00B065B6">
      <w:pPr>
        <w:pStyle w:val="2"/>
        <w:spacing w:line="360" w:lineRule="auto"/>
        <w:ind w:firstLine="284"/>
        <w:jc w:val="both"/>
        <w:rPr>
          <w:rFonts w:ascii="Times New Roman" w:eastAsia="TimesNewRomanPSMT" w:hAnsi="Times New Roman" w:cs="Times New Roman"/>
          <w:color w:val="auto"/>
          <w:sz w:val="28"/>
          <w:szCs w:val="28"/>
          <w:lang w:val="uk-UA"/>
        </w:rPr>
      </w:pPr>
      <w:r w:rsidRPr="005879AB">
        <w:rPr>
          <w:rFonts w:ascii="Times New Roman" w:eastAsia="TimesNewRomanPSMT" w:hAnsi="Times New Roman" w:cs="Times New Roman"/>
          <w:color w:val="auto"/>
          <w:sz w:val="28"/>
          <w:szCs w:val="28"/>
          <w:lang w:val="uk-UA"/>
        </w:rPr>
        <w:t>2.3 Вибір, аналіз та обгрунтуваннядозового режиму та схем введення лікарських засобів нейропротекторної природи (адемолу та референс-препаратів)</w:t>
      </w:r>
    </w:p>
    <w:p w:rsidR="00012F54" w:rsidRPr="00336094" w:rsidRDefault="00012F54" w:rsidP="00B065B6">
      <w:pPr>
        <w:widowControl w:val="0"/>
        <w:spacing w:after="0" w:line="360" w:lineRule="auto"/>
        <w:ind w:firstLine="284"/>
        <w:jc w:val="both"/>
        <w:rPr>
          <w:rFonts w:ascii="Times New Roman" w:eastAsia="TimesNewRomanPSMT" w:hAnsi="Times New Roman"/>
          <w:sz w:val="28"/>
          <w:szCs w:val="28"/>
          <w:lang w:val="uk-UA"/>
        </w:rPr>
      </w:pPr>
      <w:r w:rsidRPr="00336094">
        <w:rPr>
          <w:rFonts w:ascii="Times New Roman" w:eastAsia="TimesNewRomanPSMT" w:hAnsi="Times New Roman"/>
          <w:sz w:val="28"/>
          <w:szCs w:val="28"/>
          <w:lang w:val="uk-UA"/>
        </w:rPr>
        <w:t xml:space="preserve">Беручи до уваги той факт, що більшість пацієнтів із ГІ госпіталізується до спеціалізованого лікувального закладу у часовому інтервалі перших двох год з </w:t>
      </w:r>
      <w:r w:rsidRPr="00336094">
        <w:rPr>
          <w:rFonts w:ascii="Times New Roman" w:eastAsia="TimesNewRomanPSMT" w:hAnsi="Times New Roman"/>
          <w:sz w:val="28"/>
          <w:szCs w:val="28"/>
          <w:lang w:val="uk-UA"/>
        </w:rPr>
        <w:lastRenderedPageBreak/>
        <w:t xml:space="preserve">моменту виникнення судинно-мозкової події та особливості формування патогенетичних ланок інтракраніальноїгеморагії, терапевтичні заходи нейропротективної спрямованості стартували через 1 год після відтворення відповідної моделі САК, або ВМК. </w:t>
      </w:r>
    </w:p>
    <w:p w:rsidR="00012F54" w:rsidRPr="00012F54" w:rsidRDefault="00012F54" w:rsidP="00B065B6">
      <w:pPr>
        <w:widowControl w:val="0"/>
        <w:spacing w:after="0" w:line="360" w:lineRule="auto"/>
        <w:ind w:firstLine="284"/>
        <w:jc w:val="both"/>
        <w:rPr>
          <w:rFonts w:ascii="Times New Roman" w:eastAsia="TimesNewRomanPSMT" w:hAnsi="Times New Roman"/>
          <w:sz w:val="28"/>
          <w:szCs w:val="28"/>
          <w:lang w:val="uk-UA"/>
        </w:rPr>
      </w:pPr>
      <w:r w:rsidRPr="00336094">
        <w:rPr>
          <w:rFonts w:ascii="Times New Roman" w:hAnsi="Times New Roman"/>
          <w:sz w:val="28"/>
          <w:szCs w:val="28"/>
          <w:lang w:val="uk-UA"/>
        </w:rPr>
        <w:t>Промисловий зразок адемолу, вводили</w:t>
      </w:r>
      <w:r w:rsidRPr="00012F54">
        <w:rPr>
          <w:rFonts w:ascii="Times New Roman" w:hAnsi="Times New Roman"/>
          <w:sz w:val="28"/>
          <w:szCs w:val="28"/>
          <w:lang w:val="uk-UA"/>
        </w:rPr>
        <w:t xml:space="preserve"> з розрахунку 2 мг/кг в/в або в/о. За даними наших попередніх досліджень використання адемолу в такій дозі повною мірою забезпечувало реалізацію його нейропротективної активності при ішемічно-гіпоксичних ураженнях ЦНС не геморагічної природи, </w:t>
      </w:r>
      <w:r w:rsidRPr="00012F54">
        <w:rPr>
          <w:rFonts w:ascii="Times New Roman" w:eastAsia="TimesNewRomanPSMT" w:hAnsi="Times New Roman"/>
          <w:sz w:val="28"/>
          <w:szCs w:val="28"/>
          <w:lang w:val="uk-UA"/>
        </w:rPr>
        <w:t xml:space="preserve">що верифікувалось зменшенням показника летальності та покращенням неврологічного статусу у щурів із різними підтипами інсульту. </w:t>
      </w:r>
    </w:p>
    <w:p w:rsidR="00012F54" w:rsidRPr="00012F54" w:rsidRDefault="00012F54" w:rsidP="00B065B6">
      <w:pPr>
        <w:widowControl w:val="0"/>
        <w:spacing w:after="0" w:line="36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В якості референс-препарату</w:t>
      </w:r>
      <w:r w:rsidR="00506E62">
        <w:rPr>
          <w:rFonts w:ascii="Times New Roman" w:eastAsia="TimesNewRomanPSMT" w:hAnsi="Times New Roman"/>
          <w:sz w:val="28"/>
          <w:szCs w:val="28"/>
          <w:lang w:val="uk-UA"/>
        </w:rPr>
        <w:t xml:space="preserve"> був обраний німодипін («Німотоп»</w:t>
      </w:r>
      <w:r w:rsidR="00506E62">
        <w:rPr>
          <w:rFonts w:ascii="Times New Roman" w:hAnsi="Times New Roman"/>
          <w:sz w:val="28"/>
          <w:szCs w:val="28"/>
          <w:lang w:val="uk-UA"/>
        </w:rPr>
        <w:t>«BayerHealthСare AG»;»Bayer AG»</w:t>
      </w:r>
      <w:r w:rsidRPr="00012F54">
        <w:rPr>
          <w:rFonts w:ascii="Times New Roman" w:eastAsia="TimesNewRomanPSMT" w:hAnsi="Times New Roman"/>
          <w:sz w:val="28"/>
          <w:szCs w:val="28"/>
          <w:lang w:val="uk-UA"/>
        </w:rPr>
        <w:t xml:space="preserve">, Німеччина), дозою 30 мкг/кг парантерально (в/о і в/в) у вигляді розчину, або його таблетована форма випуску з розрахунку </w:t>
      </w:r>
      <w:r w:rsidRPr="00012F54">
        <w:rPr>
          <w:rFonts w:ascii="Times New Roman" w:hAnsi="Times New Roman"/>
          <w:sz w:val="28"/>
          <w:szCs w:val="28"/>
          <w:lang w:val="uk-UA"/>
        </w:rPr>
        <w:t>60 мг/кг внутрішньошлунково (в/ш)</w:t>
      </w:r>
      <w:r w:rsidRPr="00012F54">
        <w:rPr>
          <w:rFonts w:ascii="Times New Roman" w:eastAsia="TimesNewRomanPSMT" w:hAnsi="Times New Roman"/>
          <w:sz w:val="28"/>
          <w:szCs w:val="28"/>
          <w:lang w:val="uk-UA"/>
        </w:rPr>
        <w:t xml:space="preserve"> у вигляді суспензії, приготованої із додаванням Твіну-80 [132]. Даний лікарський засіб вибірково взаємодіє з кальцієвими каналами L-типу та блокує трансмембранний потік кальцію. Німодипін володіє виразними вазодилатуючими та протиішемічними властивостями, попереджаючи спазми церебральних судин викликані різними біологічно активними речовинами (серотоніном, простагландінами та інш.). Пероральний шлях введення є альтернативним і більш безпечним з точки зору можливої гіпотензії. </w:t>
      </w:r>
    </w:p>
    <w:p w:rsidR="00012F54" w:rsidRPr="00012F54" w:rsidRDefault="00012F54" w:rsidP="00B065B6">
      <w:pPr>
        <w:widowControl w:val="0"/>
        <w:spacing w:after="0" w:line="36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Зважаючи на рецепторну мішень адемолу, додатково, в якості</w:t>
      </w:r>
      <w:r w:rsidRPr="00012F54">
        <w:rPr>
          <w:rFonts w:ascii="Times New Roman" w:hAnsi="Times New Roman"/>
          <w:sz w:val="28"/>
          <w:szCs w:val="28"/>
          <w:lang w:val="uk-UA"/>
        </w:rPr>
        <w:t xml:space="preserve"> препаратів-порівняння використовували блокатор поліамінового сайту NMDA-рецепторів розчин амантадину сульфат («ПК-мерц», МерцФарма, Німеччина), 10 мг/кг в/в; та іонотропний блокатор NMDA-рецепторів розчин магнію сульфата («Магнія сульфат-Дарниця» Дарниця, Україна), 250 мг/кг в/в. Референс-препарати застосовували в рекомендованих для доклінічних досліджень дозах [60, 133</w:t>
      </w:r>
      <w:r w:rsidRPr="00012F54">
        <w:rPr>
          <w:rFonts w:ascii="Times New Roman" w:eastAsia="TimesNewRomanPSMT" w:hAnsi="Times New Roman"/>
          <w:sz w:val="28"/>
          <w:szCs w:val="28"/>
          <w:lang w:val="uk-UA"/>
        </w:rPr>
        <w:t xml:space="preserve">]. </w:t>
      </w:r>
    </w:p>
    <w:p w:rsidR="00012F54" w:rsidRPr="00012F54" w:rsidRDefault="00012F54" w:rsidP="00B065B6">
      <w:pPr>
        <w:widowControl w:val="0"/>
        <w:spacing w:after="0" w:line="36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 xml:space="preserve">Тварини групи контрольної патології в якості терапії отримували фізіологічний розчин NаСІ у розрахунку 2 мл/кг. </w:t>
      </w:r>
    </w:p>
    <w:p w:rsidR="00012F54" w:rsidRDefault="00012F54" w:rsidP="00B065B6">
      <w:pPr>
        <w:widowControl w:val="0"/>
        <w:spacing w:after="0" w:line="36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 xml:space="preserve">Всі препарати вводили в/в у попередньо катетеризовану (катетер внутрішньовенній "УНОФЛОН" 22 G, Індія) стегнову вену за допомогою інфузоматної системи B. BraunMcGaw (Німеччина) упродовж 4 год (рис. 2.5). Під </w:t>
      </w:r>
      <w:r w:rsidRPr="00012F54">
        <w:rPr>
          <w:rFonts w:ascii="Times New Roman" w:eastAsia="TimesNewRomanPSMT" w:hAnsi="Times New Roman"/>
          <w:sz w:val="28"/>
          <w:szCs w:val="28"/>
          <w:lang w:val="uk-UA"/>
        </w:rPr>
        <w:lastRenderedPageBreak/>
        <w:t>час інфузії, з метою профілактики гіпотермії, тварина знаходилась у вільному положенні у спеціальній термокамері (Biopaс, США), де за допомогою конвектора підтримувалась постійна температура в межах +18</w:t>
      </w:r>
      <w:r w:rsidRPr="00012F54">
        <w:rPr>
          <w:rFonts w:ascii="Times New Roman" w:eastAsia="TimesNewRomanPSMT" w:hAnsi="Times New Roman"/>
          <w:sz w:val="28"/>
          <w:szCs w:val="28"/>
          <w:vertAlign w:val="superscript"/>
          <w:lang w:val="uk-UA"/>
        </w:rPr>
        <w:t>0</w:t>
      </w:r>
      <w:r w:rsidRPr="00012F54">
        <w:rPr>
          <w:rFonts w:ascii="Times New Roman" w:eastAsia="TimesNewRomanPSMT" w:hAnsi="Times New Roman"/>
          <w:sz w:val="28"/>
          <w:szCs w:val="28"/>
          <w:lang w:val="uk-UA"/>
        </w:rPr>
        <w:t xml:space="preserve">С </w:t>
      </w:r>
      <w:bookmarkStart w:id="30" w:name="_Hlk51526917"/>
      <w:r w:rsidRPr="00012F54">
        <w:rPr>
          <w:rFonts w:ascii="Times New Roman" w:hAnsi="Times New Roman"/>
          <w:sz w:val="28"/>
          <w:szCs w:val="28"/>
        </w:rPr>
        <w:t>–</w:t>
      </w:r>
      <w:bookmarkEnd w:id="30"/>
      <w:r w:rsidRPr="00012F54">
        <w:rPr>
          <w:rFonts w:ascii="Times New Roman" w:eastAsia="TimesNewRomanPSMT" w:hAnsi="Times New Roman"/>
          <w:sz w:val="28"/>
          <w:szCs w:val="28"/>
          <w:lang w:val="uk-UA"/>
        </w:rPr>
        <w:t xml:space="preserve"> +20</w:t>
      </w:r>
      <w:r w:rsidRPr="00012F54">
        <w:rPr>
          <w:rFonts w:ascii="Times New Roman" w:eastAsia="TimesNewRomanPSMT" w:hAnsi="Times New Roman"/>
          <w:sz w:val="28"/>
          <w:szCs w:val="28"/>
          <w:vertAlign w:val="superscript"/>
          <w:lang w:val="uk-UA"/>
        </w:rPr>
        <w:t>0</w:t>
      </w:r>
      <w:r w:rsidRPr="00012F54">
        <w:rPr>
          <w:rFonts w:ascii="Times New Roman" w:eastAsia="TimesNewRomanPSMT" w:hAnsi="Times New Roman"/>
          <w:sz w:val="28"/>
          <w:szCs w:val="28"/>
          <w:lang w:val="uk-UA"/>
        </w:rPr>
        <w:t xml:space="preserve">С (рис. 2.1). </w:t>
      </w:r>
    </w:p>
    <w:p w:rsidR="00012F54" w:rsidRPr="000615DD" w:rsidRDefault="00012F54" w:rsidP="00B065B6">
      <w:pPr>
        <w:widowControl w:val="0"/>
        <w:spacing w:after="0" w:line="360" w:lineRule="auto"/>
        <w:ind w:firstLine="284"/>
        <w:jc w:val="both"/>
        <w:rPr>
          <w:rFonts w:ascii="Times New Roman" w:eastAsia="TimesNewRomanPSMT" w:hAnsi="Times New Roman"/>
          <w:sz w:val="16"/>
          <w:szCs w:val="16"/>
          <w:lang w:val="uk-UA"/>
        </w:rPr>
      </w:pPr>
    </w:p>
    <w:tbl>
      <w:tblPr>
        <w:tblW w:w="9356" w:type="dxa"/>
        <w:jc w:val="center"/>
        <w:tblLayout w:type="fixed"/>
        <w:tblLook w:val="01E0"/>
      </w:tblPr>
      <w:tblGrid>
        <w:gridCol w:w="4854"/>
        <w:gridCol w:w="4502"/>
      </w:tblGrid>
      <w:tr w:rsidR="00012F54" w:rsidRPr="00012F54" w:rsidTr="00012F54">
        <w:trPr>
          <w:trHeight w:val="454"/>
          <w:jc w:val="center"/>
        </w:trPr>
        <w:tc>
          <w:tcPr>
            <w:tcW w:w="4854" w:type="dxa"/>
            <w:shd w:val="clear" w:color="auto" w:fill="auto"/>
          </w:tcPr>
          <w:p w:rsidR="00012F54" w:rsidRPr="00012F54" w:rsidRDefault="00012F54" w:rsidP="00B065B6">
            <w:pPr>
              <w:widowControl w:val="0"/>
              <w:spacing w:after="0" w:line="240" w:lineRule="auto"/>
              <w:ind w:firstLine="284"/>
              <w:jc w:val="both"/>
              <w:rPr>
                <w:rFonts w:ascii="Times New Roman" w:hAnsi="Times New Roman"/>
                <w:sz w:val="28"/>
                <w:szCs w:val="28"/>
                <w:lang w:val="uk-UA"/>
              </w:rPr>
            </w:pPr>
            <w:r w:rsidRPr="00012F54">
              <w:rPr>
                <w:rFonts w:ascii="Times New Roman" w:eastAsia="TimesNewRomanPSMT" w:hAnsi="Times New Roman"/>
                <w:noProof/>
                <w:sz w:val="28"/>
                <w:szCs w:val="28"/>
              </w:rPr>
              <w:drawing>
                <wp:inline distT="0" distB="0" distL="0" distR="0">
                  <wp:extent cx="3253409" cy="2126974"/>
                  <wp:effectExtent l="0" t="0" r="4445" b="6985"/>
                  <wp:docPr id="5" name="Рисунок 5" descr="C:\Users\Admin\AppData\Local\Microsoft\Windows\INetCache\Content.Word\IMG_83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C:\Users\Admin\AppData\Local\Microsoft\Windows\INetCache\Content.Word\IMG_8309.jpg"/>
                          <pic:cNvPicPr>
                            <a:picLocks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259089" cy="2130688"/>
                          </a:xfrm>
                          <a:prstGeom prst="rect">
                            <a:avLst/>
                          </a:prstGeom>
                          <a:noFill/>
                          <a:ln>
                            <a:noFill/>
                          </a:ln>
                        </pic:spPr>
                      </pic:pic>
                    </a:graphicData>
                  </a:graphic>
                </wp:inline>
              </w:drawing>
            </w:r>
          </w:p>
        </w:tc>
        <w:tc>
          <w:tcPr>
            <w:tcW w:w="4502" w:type="dxa"/>
            <w:shd w:val="clear" w:color="auto" w:fill="auto"/>
          </w:tcPr>
          <w:p w:rsidR="00012F54" w:rsidRPr="00012F54" w:rsidRDefault="005D0FB9" w:rsidP="00B065B6">
            <w:pPr>
              <w:widowControl w:val="0"/>
              <w:spacing w:after="0" w:line="240" w:lineRule="auto"/>
              <w:ind w:firstLine="284"/>
              <w:jc w:val="both"/>
              <w:rPr>
                <w:rFonts w:ascii="Times New Roman" w:hAnsi="Times New Roman"/>
                <w:sz w:val="28"/>
                <w:szCs w:val="28"/>
                <w:lang w:val="uk-UA"/>
              </w:rPr>
            </w:pPr>
            <w:r>
              <w:rPr>
                <w:rFonts w:ascii="Times New Roman" w:hAnsi="Times New Roman"/>
                <w:noProof/>
                <w:sz w:val="28"/>
                <w:szCs w:val="28"/>
              </w:rPr>
              <w:drawing>
                <wp:inline distT="0" distB="0" distL="0" distR="0">
                  <wp:extent cx="2839693" cy="2137629"/>
                  <wp:effectExtent l="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5055" cy="2141665"/>
                          </a:xfrm>
                          <a:prstGeom prst="rect">
                            <a:avLst/>
                          </a:prstGeom>
                          <a:noFill/>
                          <a:ln>
                            <a:noFill/>
                          </a:ln>
                        </pic:spPr>
                      </pic:pic>
                    </a:graphicData>
                  </a:graphic>
                </wp:inline>
              </w:drawing>
            </w:r>
          </w:p>
        </w:tc>
      </w:tr>
      <w:tr w:rsidR="00012F54" w:rsidRPr="00012F54" w:rsidTr="00012F54">
        <w:trPr>
          <w:trHeight w:val="791"/>
          <w:jc w:val="center"/>
        </w:trPr>
        <w:tc>
          <w:tcPr>
            <w:tcW w:w="4854" w:type="dxa"/>
            <w:shd w:val="clear" w:color="auto" w:fill="auto"/>
          </w:tcPr>
          <w:p w:rsidR="00012F54" w:rsidRPr="00012F54" w:rsidRDefault="00012F54" w:rsidP="00D17BD3">
            <w:pPr>
              <w:widowControl w:val="0"/>
              <w:spacing w:after="0" w:line="240" w:lineRule="auto"/>
              <w:ind w:firstLine="284"/>
              <w:jc w:val="both"/>
              <w:rPr>
                <w:rFonts w:ascii="Times New Roman" w:hAnsi="Times New Roman"/>
                <w:sz w:val="28"/>
                <w:szCs w:val="28"/>
                <w:lang w:val="uk-UA"/>
              </w:rPr>
            </w:pPr>
            <w:r w:rsidRPr="00012F54">
              <w:rPr>
                <w:rFonts w:ascii="Times New Roman" w:hAnsi="Times New Roman"/>
                <w:sz w:val="28"/>
                <w:szCs w:val="28"/>
                <w:lang w:val="uk-UA"/>
              </w:rPr>
              <w:t>А. Етап постановки катетера (номер 22 G) у стегнову вену щура до його фіксації під шкірою</w:t>
            </w:r>
          </w:p>
        </w:tc>
        <w:tc>
          <w:tcPr>
            <w:tcW w:w="4502" w:type="dxa"/>
            <w:shd w:val="clear" w:color="auto" w:fill="auto"/>
          </w:tcPr>
          <w:p w:rsidR="00012F54" w:rsidRPr="00012F54" w:rsidRDefault="00012F54" w:rsidP="00D17BD3">
            <w:pPr>
              <w:widowControl w:val="0"/>
              <w:spacing w:after="0" w:line="24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Б. Довенне введення досліджуваних розчинів у катетеризовану крайову вену вуха за допомогою інфузоматної системи </w:t>
            </w:r>
            <w:r w:rsidRPr="00012F54">
              <w:rPr>
                <w:rFonts w:ascii="Times New Roman" w:hAnsi="Times New Roman"/>
                <w:bCs/>
                <w:sz w:val="28"/>
                <w:szCs w:val="28"/>
                <w:shd w:val="clear" w:color="auto" w:fill="FFFFFF"/>
                <w:lang w:val="uk-UA"/>
              </w:rPr>
              <w:t>B. Braun (Німеччина)</w:t>
            </w:r>
          </w:p>
        </w:tc>
      </w:tr>
    </w:tbl>
    <w:p w:rsidR="00012F54" w:rsidRPr="00763508" w:rsidRDefault="00012F54" w:rsidP="00D17BD3">
      <w:pPr>
        <w:widowControl w:val="0"/>
        <w:shd w:val="clear" w:color="auto" w:fill="FFFFFF"/>
        <w:spacing w:after="0" w:line="240" w:lineRule="auto"/>
        <w:ind w:firstLine="284"/>
        <w:jc w:val="both"/>
        <w:rPr>
          <w:rFonts w:ascii="Times New Roman" w:eastAsia="TimesNewRomanPSMT" w:hAnsi="Times New Roman"/>
          <w:sz w:val="28"/>
          <w:szCs w:val="28"/>
          <w:lang w:val="uk-UA"/>
        </w:rPr>
      </w:pPr>
    </w:p>
    <w:p w:rsidR="00012F54" w:rsidRPr="00012F54" w:rsidRDefault="00012F54" w:rsidP="008137BA">
      <w:pPr>
        <w:widowControl w:val="0"/>
        <w:shd w:val="clear" w:color="auto" w:fill="FFFFFF"/>
        <w:spacing w:after="0" w:line="24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Рис. 2.5. Етапи забезпечення довенного доступу для інфузії препаратів через інфузоматну систему</w:t>
      </w:r>
    </w:p>
    <w:p w:rsidR="00763508" w:rsidRDefault="00763508" w:rsidP="00763508">
      <w:pPr>
        <w:widowControl w:val="0"/>
        <w:shd w:val="clear" w:color="auto" w:fill="FFFFFF"/>
        <w:spacing w:after="0" w:line="360" w:lineRule="auto"/>
        <w:ind w:firstLine="284"/>
        <w:jc w:val="both"/>
        <w:rPr>
          <w:rFonts w:ascii="Times New Roman" w:eastAsia="TimesNewRomanPSMT" w:hAnsi="Times New Roman"/>
          <w:sz w:val="28"/>
          <w:szCs w:val="28"/>
          <w:lang w:val="uk-UA"/>
        </w:rPr>
      </w:pPr>
      <w:bookmarkStart w:id="31" w:name="_Hlk480727885"/>
    </w:p>
    <w:p w:rsidR="00763508" w:rsidRPr="00012F54" w:rsidRDefault="00763508" w:rsidP="00763508">
      <w:pPr>
        <w:widowControl w:val="0"/>
        <w:shd w:val="clear" w:color="auto" w:fill="FFFFFF"/>
        <w:spacing w:after="0" w:line="360" w:lineRule="auto"/>
        <w:ind w:firstLine="284"/>
        <w:jc w:val="both"/>
        <w:rPr>
          <w:rFonts w:ascii="Times New Roman" w:eastAsia="TimesNewRomanPSMT" w:hAnsi="Times New Roman"/>
          <w:sz w:val="28"/>
          <w:szCs w:val="28"/>
          <w:lang w:val="uk-UA"/>
        </w:rPr>
      </w:pPr>
      <w:r w:rsidRPr="00012F54">
        <w:rPr>
          <w:rFonts w:ascii="Times New Roman" w:eastAsia="TimesNewRomanPSMT" w:hAnsi="Times New Roman"/>
          <w:sz w:val="28"/>
          <w:szCs w:val="28"/>
          <w:lang w:val="uk-UA"/>
        </w:rPr>
        <w:t>Введення препаратів за допомогою інфузоматної системи має низку переваг перед їх внутрішньоочеревинним застосуванням, зокрема створюється пікова концентрація препарату в крові, яка ідтримується у продовж певного тривалого проміжку (під час інфузії), що наближає умови проведення експериментальної фармакотерапії до клінічних. У випадку застосування німодипіну, згідно до інструкції-виробника, інфузоматна система була затемнена [</w:t>
      </w:r>
      <w:r w:rsidRPr="00012F54">
        <w:rPr>
          <w:rFonts w:ascii="Times New Roman" w:eastAsia="TimesNewRomanPSMT" w:hAnsi="Times New Roman"/>
          <w:sz w:val="28"/>
          <w:szCs w:val="28"/>
        </w:rPr>
        <w:t>13</w:t>
      </w:r>
      <w:r w:rsidRPr="00012F54">
        <w:rPr>
          <w:rFonts w:ascii="Times New Roman" w:eastAsia="TimesNewRomanPSMT" w:hAnsi="Times New Roman"/>
          <w:sz w:val="28"/>
          <w:szCs w:val="28"/>
          <w:lang w:val="uk-UA"/>
        </w:rPr>
        <w:t>2].</w:t>
      </w:r>
    </w:p>
    <w:p w:rsidR="00763508" w:rsidRPr="00012F54" w:rsidRDefault="00763508" w:rsidP="00763508">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iCs/>
          <w:sz w:val="28"/>
          <w:szCs w:val="28"/>
          <w:lang w:val="uk-UA"/>
        </w:rPr>
        <w:t>Досліджуваний препарат № 1. Адемол</w:t>
      </w:r>
      <w:r w:rsidRPr="00012F54">
        <w:rPr>
          <w:rFonts w:ascii="Times New Roman" w:hAnsi="Times New Roman"/>
          <w:sz w:val="28"/>
          <w:szCs w:val="28"/>
          <w:lang w:val="uk-UA"/>
        </w:rPr>
        <w:t xml:space="preserve"> («Адемол-Дарниця», Дарниця, Україна, 10 ампул по 1 мл 1,0 % розчину, концентрацією 10 мг/мл).</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Назва. Адемол-Дарниця</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Фармакотерапевтична група. Засоби, що стимулюють пологову діяльність</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Номер серії. 020414</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Дата виготовлення. 01.04.2014</w:t>
      </w:r>
    </w:p>
    <w:p w:rsidR="00012F54" w:rsidRPr="0086395A" w:rsidRDefault="00012F54" w:rsidP="00B065B6">
      <w:pPr>
        <w:widowControl w:val="0"/>
        <w:spacing w:after="0" w:line="360" w:lineRule="auto"/>
        <w:ind w:firstLine="284"/>
        <w:jc w:val="both"/>
        <w:rPr>
          <w:rFonts w:ascii="Times New Roman" w:hAnsi="Times New Roman"/>
          <w:sz w:val="28"/>
          <w:szCs w:val="28"/>
          <w:lang w:val="uk-UA"/>
        </w:rPr>
      </w:pPr>
      <w:r w:rsidRPr="0086395A">
        <w:rPr>
          <w:rFonts w:ascii="Times New Roman" w:hAnsi="Times New Roman"/>
          <w:iCs/>
          <w:sz w:val="28"/>
          <w:szCs w:val="28"/>
          <w:lang w:val="uk-UA"/>
        </w:rPr>
        <w:t xml:space="preserve">Склад. Діюча речовина: </w:t>
      </w:r>
      <w:r w:rsidRPr="0086395A">
        <w:rPr>
          <w:rFonts w:ascii="Times New Roman" w:hAnsi="Times New Roman"/>
          <w:sz w:val="28"/>
          <w:szCs w:val="28"/>
          <w:lang w:val="uk-UA"/>
        </w:rPr>
        <w:t xml:space="preserve">1-адамантилтилокси-3-морфоліно-2-пропанолу гідрохлорид; 1 мл розчину містить 1-адамантилтилокси-3-морфоліно-2-пропанолу </w:t>
      </w:r>
      <w:r w:rsidRPr="0086395A">
        <w:rPr>
          <w:rFonts w:ascii="Times New Roman" w:hAnsi="Times New Roman"/>
          <w:sz w:val="28"/>
          <w:szCs w:val="28"/>
          <w:lang w:val="uk-UA"/>
        </w:rPr>
        <w:lastRenderedPageBreak/>
        <w:t>гідрохлорид 1мг</w:t>
      </w:r>
    </w:p>
    <w:p w:rsidR="00012F54" w:rsidRPr="00012F54" w:rsidRDefault="00012F54" w:rsidP="00B065B6">
      <w:pPr>
        <w:widowControl w:val="0"/>
        <w:spacing w:after="0" w:line="360" w:lineRule="auto"/>
        <w:ind w:firstLine="284"/>
        <w:jc w:val="both"/>
        <w:rPr>
          <w:rFonts w:ascii="Times New Roman" w:hAnsi="Times New Roman"/>
          <w:sz w:val="28"/>
          <w:szCs w:val="28"/>
        </w:rPr>
      </w:pPr>
      <w:r w:rsidRPr="00012F54">
        <w:rPr>
          <w:rFonts w:ascii="Times New Roman" w:hAnsi="Times New Roman"/>
          <w:sz w:val="28"/>
          <w:szCs w:val="28"/>
        </w:rPr>
        <w:t>Д</w:t>
      </w:r>
      <w:r w:rsidRPr="00012F54">
        <w:rPr>
          <w:rFonts w:ascii="Times New Roman" w:hAnsi="Times New Roman"/>
          <w:iCs/>
          <w:sz w:val="28"/>
          <w:szCs w:val="28"/>
        </w:rPr>
        <w:t>опоміжніречовини:</w:t>
      </w:r>
      <w:r w:rsidRPr="00012F54">
        <w:rPr>
          <w:rFonts w:ascii="Times New Roman" w:hAnsi="Times New Roman"/>
          <w:sz w:val="28"/>
          <w:szCs w:val="28"/>
        </w:rPr>
        <w:t xml:space="preserve"> вода для ін’єкцій. Форма випуску. </w:t>
      </w:r>
      <w:r w:rsidRPr="00012F54">
        <w:rPr>
          <w:rFonts w:ascii="Times New Roman" w:hAnsi="Times New Roman"/>
          <w:sz w:val="28"/>
          <w:szCs w:val="28"/>
          <w:shd w:val="clear" w:color="auto" w:fill="FFFFFF"/>
        </w:rPr>
        <w:t>Розчин для ін’єкцій</w:t>
      </w:r>
      <w:r w:rsidRPr="00012F54">
        <w:rPr>
          <w:rFonts w:ascii="Times New Roman" w:hAnsi="Times New Roman"/>
          <w:sz w:val="28"/>
          <w:szCs w:val="28"/>
        </w:rPr>
        <w:t xml:space="preserve">. </w:t>
      </w:r>
    </w:p>
    <w:p w:rsidR="00012F54" w:rsidRPr="00012F54" w:rsidRDefault="00012F54" w:rsidP="00B065B6">
      <w:pPr>
        <w:pStyle w:val="c11"/>
        <w:widowControl w:val="0"/>
        <w:spacing w:before="0" w:beforeAutospacing="0" w:after="0" w:afterAutospacing="0" w:line="360" w:lineRule="auto"/>
        <w:ind w:firstLine="284"/>
        <w:jc w:val="both"/>
        <w:rPr>
          <w:sz w:val="28"/>
          <w:szCs w:val="28"/>
          <w:lang w:val="uk-UA"/>
        </w:rPr>
      </w:pPr>
      <w:r w:rsidRPr="00012F54">
        <w:rPr>
          <w:rStyle w:val="hps"/>
          <w:sz w:val="28"/>
          <w:szCs w:val="28"/>
          <w:lang w:val="uk-UA"/>
        </w:rPr>
        <w:t>Умови зберігання</w:t>
      </w:r>
      <w:r w:rsidRPr="00012F54">
        <w:rPr>
          <w:sz w:val="28"/>
          <w:szCs w:val="28"/>
          <w:lang w:val="uk-UA"/>
        </w:rPr>
        <w:t>. Зберігати в оригінальній упаковці при температурі не вище 25 °С. Не охолоджувати.</w:t>
      </w:r>
    </w:p>
    <w:p w:rsidR="00012F54" w:rsidRPr="00012F54" w:rsidRDefault="00012F54" w:rsidP="00B065B6">
      <w:pPr>
        <w:pStyle w:val="c11"/>
        <w:widowControl w:val="0"/>
        <w:spacing w:before="0" w:beforeAutospacing="0" w:after="0" w:afterAutospacing="0" w:line="360" w:lineRule="auto"/>
        <w:ind w:firstLine="284"/>
        <w:jc w:val="both"/>
        <w:rPr>
          <w:sz w:val="28"/>
          <w:szCs w:val="28"/>
          <w:lang w:val="uk-UA"/>
        </w:rPr>
      </w:pPr>
      <w:r w:rsidRPr="00012F54">
        <w:rPr>
          <w:sz w:val="28"/>
          <w:szCs w:val="28"/>
          <w:lang w:val="uk-UA"/>
        </w:rPr>
        <w:t xml:space="preserve">Зберігати в недоступному для дітей місці. </w:t>
      </w:r>
      <w:r w:rsidRPr="00012F54">
        <w:rPr>
          <w:sz w:val="28"/>
          <w:szCs w:val="28"/>
          <w:shd w:val="clear" w:color="auto" w:fill="FFFFFF"/>
          <w:lang w:val="uk-UA"/>
        </w:rPr>
        <w:t>Термін придатності – 3 роки.</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Style w:val="hps"/>
          <w:rFonts w:ascii="Times New Roman" w:hAnsi="Times New Roman"/>
          <w:sz w:val="28"/>
          <w:szCs w:val="28"/>
          <w:lang w:val="uk-UA"/>
        </w:rPr>
        <w:t>Термін придатності</w:t>
      </w:r>
      <w:r w:rsidRPr="00012F54">
        <w:rPr>
          <w:rFonts w:ascii="Times New Roman" w:hAnsi="Times New Roman"/>
          <w:sz w:val="28"/>
          <w:szCs w:val="28"/>
          <w:lang w:val="uk-UA"/>
        </w:rPr>
        <w:t>: травень 2019 р.</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Style w:val="hps"/>
          <w:rFonts w:ascii="Times New Roman" w:hAnsi="Times New Roman"/>
          <w:sz w:val="28"/>
          <w:szCs w:val="28"/>
          <w:lang w:val="uk-UA"/>
        </w:rPr>
        <w:t>Повна характеристика препарату наведена в сертифікаті якості</w:t>
      </w:r>
      <w:r w:rsidRPr="00012F54">
        <w:rPr>
          <w:rFonts w:ascii="Times New Roman" w:hAnsi="Times New Roman"/>
          <w:sz w:val="28"/>
          <w:szCs w:val="28"/>
          <w:lang w:val="uk-UA"/>
        </w:rPr>
        <w:t xml:space="preserve"> № 00454.</w:t>
      </w:r>
    </w:p>
    <w:bookmarkEnd w:id="31"/>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iCs/>
          <w:sz w:val="28"/>
          <w:szCs w:val="28"/>
          <w:lang w:val="uk-UA"/>
        </w:rPr>
        <w:t>Досліджуваний препарат № 2.</w:t>
      </w:r>
      <w:r w:rsidRPr="00012F54">
        <w:rPr>
          <w:rFonts w:ascii="Times New Roman" w:hAnsi="Times New Roman"/>
          <w:sz w:val="28"/>
          <w:szCs w:val="28"/>
          <w:lang w:val="uk-UA"/>
        </w:rPr>
        <w:t xml:space="preserve">Амантадину сульфат («ПК-Мерц», MerzPharmaceuticals, </w:t>
      </w:r>
      <w:r w:rsidR="00506E62">
        <w:rPr>
          <w:rFonts w:ascii="Times New Roman" w:hAnsi="Times New Roman"/>
          <w:sz w:val="28"/>
          <w:szCs w:val="28"/>
          <w:lang w:val="uk-UA"/>
        </w:rPr>
        <w:t xml:space="preserve"> Німеччина</w:t>
      </w:r>
      <w:r w:rsidRPr="00012F54">
        <w:rPr>
          <w:rFonts w:ascii="Times New Roman" w:hAnsi="Times New Roman"/>
          <w:sz w:val="28"/>
          <w:szCs w:val="28"/>
          <w:lang w:val="uk-UA"/>
        </w:rPr>
        <w:t>), 1 флакон 500 мл концентрацією 200 мг/500 мл.</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Назва. ПК-Мерц</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Фармакотерапевтична група. Протипаркінсонічні препарати. Код </w:t>
      </w:r>
      <w:hyperlink r:id="rId22" w:anchor="N04B_B01" w:history="1">
        <w:r w:rsidRPr="00012F54">
          <w:rPr>
            <w:rFonts w:ascii="Times New Roman" w:hAnsi="Times New Roman"/>
            <w:sz w:val="28"/>
            <w:szCs w:val="28"/>
          </w:rPr>
          <w:t>N04B B01</w:t>
        </w:r>
      </w:hyperlink>
      <w:r w:rsidRPr="00012F54">
        <w:rPr>
          <w:rFonts w:ascii="Times New Roman" w:hAnsi="Times New Roman"/>
          <w:sz w:val="28"/>
          <w:szCs w:val="28"/>
          <w:lang w:val="uk-UA"/>
        </w:rPr>
        <w:t>.</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Номер серії. 406191</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Дата виготовлення. 11.06.2014</w:t>
      </w:r>
    </w:p>
    <w:p w:rsidR="00012F54" w:rsidRPr="00012F54" w:rsidRDefault="00012F54" w:rsidP="00B065B6">
      <w:pPr>
        <w:pStyle w:val="c11"/>
        <w:widowControl w:val="0"/>
        <w:spacing w:before="0" w:beforeAutospacing="0" w:after="0" w:afterAutospacing="0" w:line="360" w:lineRule="auto"/>
        <w:ind w:firstLine="284"/>
        <w:jc w:val="both"/>
        <w:rPr>
          <w:color w:val="484849"/>
          <w:sz w:val="28"/>
          <w:szCs w:val="28"/>
          <w:lang w:val="uk-UA"/>
        </w:rPr>
      </w:pPr>
      <w:r w:rsidRPr="00012F54">
        <w:rPr>
          <w:sz w:val="28"/>
          <w:szCs w:val="28"/>
          <w:lang w:val="uk-UA"/>
        </w:rPr>
        <w:t>Склад. 500 мл розчину містить діючої речовини амантадину сульфату 200 мг та в якості допоміжної речовини хлорид натрію 4,725 г</w:t>
      </w:r>
      <w:r w:rsidRPr="00012F54">
        <w:rPr>
          <w:color w:val="484849"/>
          <w:sz w:val="28"/>
          <w:szCs w:val="28"/>
          <w:lang w:val="uk-UA"/>
        </w:rPr>
        <w:t>.</w:t>
      </w:r>
    </w:p>
    <w:p w:rsidR="00012F54" w:rsidRPr="00012F54" w:rsidRDefault="00012F54" w:rsidP="00B065B6">
      <w:pPr>
        <w:pStyle w:val="c11"/>
        <w:widowControl w:val="0"/>
        <w:spacing w:before="0" w:beforeAutospacing="0" w:after="0" w:afterAutospacing="0" w:line="360" w:lineRule="auto"/>
        <w:ind w:firstLine="284"/>
        <w:jc w:val="both"/>
        <w:rPr>
          <w:sz w:val="28"/>
          <w:szCs w:val="28"/>
          <w:lang w:val="uk-UA"/>
        </w:rPr>
      </w:pPr>
      <w:r w:rsidRPr="00012F54">
        <w:rPr>
          <w:sz w:val="28"/>
          <w:szCs w:val="28"/>
          <w:lang w:val="uk-UA"/>
        </w:rPr>
        <w:t xml:space="preserve">Форма випуску. </w:t>
      </w:r>
      <w:r w:rsidRPr="00012F54">
        <w:rPr>
          <w:sz w:val="28"/>
          <w:szCs w:val="28"/>
          <w:shd w:val="clear" w:color="auto" w:fill="FFFFFF"/>
          <w:lang w:val="uk-UA"/>
        </w:rPr>
        <w:t>Розчин для інфузій</w:t>
      </w:r>
      <w:r w:rsidRPr="00012F54">
        <w:rPr>
          <w:sz w:val="28"/>
          <w:szCs w:val="28"/>
          <w:lang w:val="uk-UA"/>
        </w:rPr>
        <w:t xml:space="preserve">. </w:t>
      </w:r>
    </w:p>
    <w:p w:rsidR="00012F54" w:rsidRPr="00012F54" w:rsidRDefault="00012F54" w:rsidP="00B065B6">
      <w:pPr>
        <w:pStyle w:val="c11"/>
        <w:widowControl w:val="0"/>
        <w:spacing w:before="0" w:beforeAutospacing="0" w:after="0" w:afterAutospacing="0" w:line="360" w:lineRule="auto"/>
        <w:ind w:firstLine="284"/>
        <w:jc w:val="both"/>
        <w:rPr>
          <w:sz w:val="28"/>
          <w:szCs w:val="28"/>
          <w:lang w:val="uk-UA"/>
        </w:rPr>
      </w:pPr>
      <w:r w:rsidRPr="00012F54">
        <w:rPr>
          <w:rStyle w:val="hps"/>
          <w:sz w:val="28"/>
          <w:szCs w:val="28"/>
          <w:lang w:val="uk-UA"/>
        </w:rPr>
        <w:t>Умови зберігання</w:t>
      </w:r>
      <w:r w:rsidRPr="00012F54">
        <w:rPr>
          <w:sz w:val="28"/>
          <w:szCs w:val="28"/>
          <w:lang w:val="uk-UA"/>
        </w:rPr>
        <w:t xml:space="preserve">. Зберігати в оригінальній упаковці при температурі не вище 25 °С. Не охолоджувати. Зберігати в недоступному для дітей місці. </w:t>
      </w:r>
    </w:p>
    <w:p w:rsidR="00012F54" w:rsidRPr="00012F54" w:rsidRDefault="00012F54" w:rsidP="00B065B6">
      <w:pPr>
        <w:pStyle w:val="c11"/>
        <w:widowControl w:val="0"/>
        <w:spacing w:before="0" w:beforeAutospacing="0" w:after="0" w:afterAutospacing="0" w:line="360" w:lineRule="auto"/>
        <w:ind w:firstLine="284"/>
        <w:jc w:val="both"/>
        <w:rPr>
          <w:sz w:val="28"/>
          <w:szCs w:val="28"/>
          <w:lang w:val="uk-UA"/>
        </w:rPr>
      </w:pPr>
      <w:r w:rsidRPr="00012F54">
        <w:rPr>
          <w:sz w:val="28"/>
          <w:szCs w:val="28"/>
          <w:shd w:val="clear" w:color="auto" w:fill="FFFFFF"/>
          <w:lang w:val="uk-UA"/>
        </w:rPr>
        <w:t>Термін придатності – 5 років.</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Style w:val="hps"/>
          <w:rFonts w:ascii="Times New Roman" w:hAnsi="Times New Roman"/>
          <w:sz w:val="28"/>
          <w:szCs w:val="28"/>
          <w:lang w:val="uk-UA"/>
        </w:rPr>
        <w:t>Термін придатності</w:t>
      </w:r>
      <w:r w:rsidRPr="00012F54">
        <w:rPr>
          <w:rFonts w:ascii="Times New Roman" w:hAnsi="Times New Roman"/>
          <w:sz w:val="28"/>
          <w:szCs w:val="28"/>
          <w:lang w:val="uk-UA"/>
        </w:rPr>
        <w:t>: травень 2019 р.</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Style w:val="hps"/>
          <w:rFonts w:ascii="Times New Roman" w:hAnsi="Times New Roman"/>
          <w:sz w:val="28"/>
          <w:szCs w:val="28"/>
          <w:lang w:val="uk-UA"/>
        </w:rPr>
        <w:t>Повна характеристика препарату наведена в сертифікаті якості</w:t>
      </w:r>
      <w:r w:rsidRPr="00012F54">
        <w:rPr>
          <w:rFonts w:ascii="Times New Roman" w:hAnsi="Times New Roman"/>
          <w:sz w:val="28"/>
          <w:szCs w:val="28"/>
          <w:lang w:val="uk-UA"/>
        </w:rPr>
        <w:t xml:space="preserve"> № 111353.</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iCs/>
          <w:sz w:val="28"/>
          <w:szCs w:val="28"/>
          <w:lang w:val="uk-UA"/>
        </w:rPr>
        <w:t>Досліджуваний препарат № 3</w:t>
      </w:r>
      <w:r w:rsidRPr="00012F54">
        <w:rPr>
          <w:rFonts w:ascii="Times New Roman" w:hAnsi="Times New Roman"/>
          <w:sz w:val="28"/>
          <w:szCs w:val="28"/>
          <w:lang w:val="uk-UA"/>
        </w:rPr>
        <w:t>. Магнію сульфат-Дарниця («Магнія сульфат-Дарниця», Дарниця, Україна, 10 ампул по 5 мл концентрацією 250 мг/мл.</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Назва. Магнію сульфат-Дарниця</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Фармакотерапевтична група. Додаткові розчини для внутрішньовенного введення. Магнію сульфат. Код </w:t>
      </w:r>
      <w:hyperlink r:id="rId23" w:anchor="B05X_A05" w:history="1">
        <w:r w:rsidRPr="00012F54">
          <w:rPr>
            <w:rFonts w:ascii="Times New Roman" w:hAnsi="Times New Roman"/>
            <w:sz w:val="28"/>
            <w:szCs w:val="28"/>
            <w:lang w:val="uk-UA"/>
          </w:rPr>
          <w:t>B05X A05</w:t>
        </w:r>
      </w:hyperlink>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Номер серії. 010115</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Дата виготовлення. 01.01.2015 р.</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iCs/>
          <w:sz w:val="28"/>
          <w:szCs w:val="28"/>
          <w:lang w:val="uk-UA"/>
        </w:rPr>
        <w:t xml:space="preserve">Склад. Діюча речовина: </w:t>
      </w:r>
      <w:r w:rsidRPr="00012F54">
        <w:rPr>
          <w:rFonts w:ascii="Times New Roman" w:hAnsi="Times New Roman"/>
          <w:sz w:val="28"/>
          <w:szCs w:val="28"/>
        </w:rPr>
        <w:t>Magnesiumsulfate</w:t>
      </w:r>
      <w:r w:rsidRPr="00012F54">
        <w:rPr>
          <w:rFonts w:ascii="Times New Roman" w:hAnsi="Times New Roman"/>
          <w:sz w:val="28"/>
          <w:szCs w:val="28"/>
          <w:lang w:val="uk-UA"/>
        </w:rPr>
        <w:t xml:space="preserve">; 1 мл розчину містить магнію сульфату гептагідрату 200 мг або 250 мг у перерахуванні на 100% суху речовину. </w:t>
      </w:r>
    </w:p>
    <w:p w:rsidR="00012F54" w:rsidRPr="00012F54" w:rsidRDefault="00012F54" w:rsidP="00B065B6">
      <w:pPr>
        <w:widowControl w:val="0"/>
        <w:spacing w:after="0" w:line="360" w:lineRule="auto"/>
        <w:ind w:firstLine="284"/>
        <w:jc w:val="both"/>
        <w:rPr>
          <w:rFonts w:ascii="Times New Roman" w:hAnsi="Times New Roman"/>
          <w:sz w:val="28"/>
          <w:szCs w:val="28"/>
        </w:rPr>
      </w:pPr>
      <w:r w:rsidRPr="00012F54">
        <w:rPr>
          <w:rFonts w:ascii="Times New Roman" w:hAnsi="Times New Roman"/>
          <w:sz w:val="28"/>
          <w:szCs w:val="28"/>
        </w:rPr>
        <w:t>Д</w:t>
      </w:r>
      <w:r w:rsidRPr="00012F54">
        <w:rPr>
          <w:rFonts w:ascii="Times New Roman" w:hAnsi="Times New Roman"/>
          <w:iCs/>
          <w:sz w:val="28"/>
          <w:szCs w:val="28"/>
        </w:rPr>
        <w:t>опоміжніречовини:</w:t>
      </w:r>
      <w:r w:rsidRPr="00012F54">
        <w:rPr>
          <w:rFonts w:ascii="Times New Roman" w:hAnsi="Times New Roman"/>
          <w:sz w:val="28"/>
          <w:szCs w:val="28"/>
        </w:rPr>
        <w:t xml:space="preserve"> вода для ін’єкцій. </w:t>
      </w:r>
    </w:p>
    <w:p w:rsidR="00012F54" w:rsidRPr="00012F54" w:rsidRDefault="00012F54" w:rsidP="00B065B6">
      <w:pPr>
        <w:widowControl w:val="0"/>
        <w:spacing w:after="0" w:line="360" w:lineRule="auto"/>
        <w:ind w:firstLine="284"/>
        <w:jc w:val="both"/>
        <w:rPr>
          <w:rFonts w:ascii="Times New Roman" w:hAnsi="Times New Roman"/>
          <w:sz w:val="28"/>
          <w:szCs w:val="28"/>
        </w:rPr>
      </w:pPr>
      <w:r w:rsidRPr="00012F54">
        <w:rPr>
          <w:rFonts w:ascii="Times New Roman" w:hAnsi="Times New Roman"/>
          <w:sz w:val="28"/>
          <w:szCs w:val="28"/>
        </w:rPr>
        <w:lastRenderedPageBreak/>
        <w:t xml:space="preserve">Форма випуску. </w:t>
      </w:r>
      <w:r w:rsidRPr="00012F54">
        <w:rPr>
          <w:rFonts w:ascii="Times New Roman" w:hAnsi="Times New Roman"/>
          <w:sz w:val="28"/>
          <w:szCs w:val="28"/>
          <w:shd w:val="clear" w:color="auto" w:fill="FFFFFF"/>
        </w:rPr>
        <w:t>Розчин для ін’єкцій</w:t>
      </w:r>
      <w:r w:rsidRPr="00012F54">
        <w:rPr>
          <w:rFonts w:ascii="Times New Roman" w:hAnsi="Times New Roman"/>
          <w:sz w:val="28"/>
          <w:szCs w:val="28"/>
        </w:rPr>
        <w:t xml:space="preserve">. </w:t>
      </w:r>
    </w:p>
    <w:p w:rsidR="00012F54" w:rsidRPr="00012F54" w:rsidRDefault="00012F54" w:rsidP="00B065B6">
      <w:pPr>
        <w:pStyle w:val="c11"/>
        <w:widowControl w:val="0"/>
        <w:spacing w:before="0" w:beforeAutospacing="0" w:after="0" w:afterAutospacing="0" w:line="360" w:lineRule="auto"/>
        <w:ind w:firstLine="284"/>
        <w:jc w:val="both"/>
        <w:rPr>
          <w:sz w:val="28"/>
          <w:szCs w:val="28"/>
          <w:lang w:val="uk-UA"/>
        </w:rPr>
      </w:pPr>
      <w:r w:rsidRPr="00012F54">
        <w:rPr>
          <w:rStyle w:val="hps"/>
          <w:sz w:val="28"/>
          <w:szCs w:val="28"/>
          <w:lang w:val="uk-UA"/>
        </w:rPr>
        <w:t>Умови зберігання</w:t>
      </w:r>
      <w:r w:rsidRPr="00012F54">
        <w:rPr>
          <w:sz w:val="28"/>
          <w:szCs w:val="28"/>
          <w:lang w:val="uk-UA"/>
        </w:rPr>
        <w:t xml:space="preserve">. Зберігати в оригінальній упаковці при температурі не вище 25 °С. Не охолоджувати. Зберігати в недоступному для дітей місці. </w:t>
      </w:r>
    </w:p>
    <w:p w:rsidR="00012F54" w:rsidRPr="00012F54" w:rsidRDefault="00012F54" w:rsidP="00B065B6">
      <w:pPr>
        <w:pStyle w:val="c11"/>
        <w:widowControl w:val="0"/>
        <w:spacing w:before="0" w:beforeAutospacing="0" w:after="0" w:afterAutospacing="0" w:line="360" w:lineRule="auto"/>
        <w:ind w:firstLine="284"/>
        <w:jc w:val="both"/>
        <w:rPr>
          <w:sz w:val="28"/>
          <w:szCs w:val="28"/>
          <w:lang w:val="uk-UA"/>
        </w:rPr>
      </w:pPr>
      <w:r w:rsidRPr="00012F54">
        <w:rPr>
          <w:sz w:val="28"/>
          <w:szCs w:val="28"/>
          <w:shd w:val="clear" w:color="auto" w:fill="FFFFFF"/>
          <w:lang w:val="uk-UA"/>
        </w:rPr>
        <w:t>Термін придатності – 3 роки.</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Style w:val="hps"/>
          <w:rFonts w:ascii="Times New Roman" w:hAnsi="Times New Roman"/>
          <w:sz w:val="28"/>
          <w:szCs w:val="28"/>
          <w:lang w:val="uk-UA"/>
        </w:rPr>
        <w:t>Термін придатності</w:t>
      </w:r>
      <w:r w:rsidRPr="00012F54">
        <w:rPr>
          <w:rFonts w:ascii="Times New Roman" w:hAnsi="Times New Roman"/>
          <w:sz w:val="28"/>
          <w:szCs w:val="28"/>
          <w:lang w:val="uk-UA"/>
        </w:rPr>
        <w:t>: лютий 2018 р.</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Style w:val="hps"/>
          <w:rFonts w:ascii="Times New Roman" w:hAnsi="Times New Roman"/>
          <w:sz w:val="28"/>
          <w:szCs w:val="28"/>
          <w:lang w:val="uk-UA"/>
        </w:rPr>
        <w:t>Повна характеристика препарату наведена в сертифікаті якості</w:t>
      </w:r>
      <w:r w:rsidRPr="00012F54">
        <w:rPr>
          <w:rFonts w:ascii="Times New Roman" w:hAnsi="Times New Roman"/>
          <w:sz w:val="28"/>
          <w:szCs w:val="28"/>
          <w:lang w:val="uk-UA"/>
        </w:rPr>
        <w:t xml:space="preserve"> № 111353.</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Група контрольної патології отримувала 0,9 % розчин NаСІ із розрахунку 2 мл/кг парантерально. Псевдооперованих тварин піддавали всім втручанням (наркоз, розріз шкіри, кістково-пластична трепанація черепа) за виключенням маніпуляцій, які безпосередньо могли б призвести до травматичного ураження  мозку, що нівелювало вплив травматичних умов експерименту. Їм також вводили еквівалентну кількість 0,9 % розчину NаСІ.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iCs/>
          <w:sz w:val="28"/>
          <w:szCs w:val="28"/>
          <w:lang w:val="uk-UA"/>
        </w:rPr>
        <w:t>Референсний препарат № 4.</w:t>
      </w:r>
      <w:r w:rsidRPr="00012F54">
        <w:rPr>
          <w:rFonts w:ascii="Times New Roman" w:hAnsi="Times New Roman"/>
          <w:sz w:val="28"/>
          <w:szCs w:val="28"/>
          <w:lang w:val="uk-UA"/>
        </w:rPr>
        <w:t xml:space="preserve"> 0,9 % розчин NаСІ, фізіологічний розчин натрію хлориду («</w:t>
      </w:r>
      <w:r w:rsidRPr="00012F54">
        <w:rPr>
          <w:rFonts w:ascii="Times New Roman" w:hAnsi="Times New Roman"/>
          <w:bCs/>
          <w:sz w:val="28"/>
          <w:szCs w:val="28"/>
          <w:lang w:val="uk-UA"/>
        </w:rPr>
        <w:t>Натрію хлорид-Дарниця</w:t>
      </w:r>
      <w:r w:rsidRPr="00012F54">
        <w:rPr>
          <w:rFonts w:ascii="Times New Roman" w:hAnsi="Times New Roman"/>
          <w:sz w:val="28"/>
          <w:szCs w:val="28"/>
          <w:lang w:val="uk-UA"/>
        </w:rPr>
        <w:t>», Дарниця, Україна)</w:t>
      </w:r>
      <w:r w:rsidRPr="00012F54">
        <w:rPr>
          <w:rFonts w:ascii="Times New Roman" w:hAnsi="Times New Roman"/>
          <w:bCs/>
          <w:sz w:val="28"/>
          <w:szCs w:val="28"/>
          <w:shd w:val="clear" w:color="auto" w:fill="FDF9EF"/>
          <w:lang w:val="uk-UA"/>
        </w:rPr>
        <w:t>.</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Назва. </w:t>
      </w:r>
      <w:r w:rsidRPr="00012F54">
        <w:rPr>
          <w:rFonts w:ascii="Times New Roman" w:hAnsi="Times New Roman"/>
          <w:bCs/>
          <w:sz w:val="28"/>
          <w:szCs w:val="28"/>
          <w:lang w:val="uk-UA"/>
        </w:rPr>
        <w:t>Натрію хлорид-Дарниця.</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Фармакотерапевтична група. </w:t>
      </w:r>
      <w:hyperlink r:id="rId24" w:history="1">
        <w:r w:rsidRPr="00012F54">
          <w:rPr>
            <w:rFonts w:ascii="Times New Roman" w:hAnsi="Times New Roman"/>
            <w:sz w:val="28"/>
            <w:szCs w:val="28"/>
            <w:lang w:val="uk-UA"/>
          </w:rPr>
          <w:t>Плазмозамінні та дезінтоксикаційні розчини</w:t>
        </w:r>
      </w:hyperlink>
      <w:r w:rsidRPr="00012F54">
        <w:rPr>
          <w:rFonts w:ascii="Times New Roman" w:hAnsi="Times New Roman"/>
          <w:sz w:val="28"/>
          <w:szCs w:val="28"/>
          <w:lang w:val="uk-UA"/>
        </w:rPr>
        <w:t xml:space="preserve">. </w:t>
      </w:r>
    </w:p>
    <w:p w:rsidR="00012F54" w:rsidRPr="00012F54" w:rsidRDefault="00012F54" w:rsidP="00B065B6">
      <w:pPr>
        <w:widowControl w:val="0"/>
        <w:spacing w:after="0" w:line="360" w:lineRule="auto"/>
        <w:ind w:firstLine="284"/>
        <w:jc w:val="both"/>
        <w:rPr>
          <w:rFonts w:ascii="Times New Roman" w:hAnsi="Times New Roman"/>
          <w:sz w:val="28"/>
          <w:szCs w:val="28"/>
          <w:shd w:val="clear" w:color="auto" w:fill="FFFFFF"/>
          <w:lang w:val="uk-UA"/>
        </w:rPr>
      </w:pPr>
      <w:r w:rsidRPr="00012F54">
        <w:rPr>
          <w:rFonts w:ascii="Times New Roman" w:hAnsi="Times New Roman"/>
          <w:sz w:val="28"/>
          <w:szCs w:val="28"/>
          <w:shd w:val="clear" w:color="auto" w:fill="FFFFFF"/>
          <w:lang w:val="uk-UA"/>
        </w:rPr>
        <w:t xml:space="preserve">Код </w:t>
      </w:r>
      <w:r w:rsidRPr="00012F54">
        <w:rPr>
          <w:rFonts w:ascii="Times New Roman" w:hAnsi="Times New Roman"/>
          <w:color w:val="000000"/>
          <w:sz w:val="28"/>
          <w:szCs w:val="28"/>
          <w:shd w:val="clear" w:color="auto" w:fill="FFFFFF"/>
          <w:lang w:val="uk-UA"/>
        </w:rPr>
        <w:t>B05XA03.</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Номер серії: 241016</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Дата виготовлення: 24.10.2016 р.</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Склад. </w:t>
      </w:r>
      <w:r w:rsidRPr="00012F54">
        <w:rPr>
          <w:rFonts w:ascii="Times New Roman" w:hAnsi="Times New Roman"/>
          <w:iCs/>
          <w:sz w:val="28"/>
          <w:szCs w:val="28"/>
          <w:lang w:val="uk-UA"/>
        </w:rPr>
        <w:t>Діючі речовини:</w:t>
      </w:r>
      <w:r w:rsidRPr="00012F54">
        <w:rPr>
          <w:rFonts w:ascii="Times New Roman" w:hAnsi="Times New Roman"/>
          <w:color w:val="000000"/>
          <w:sz w:val="28"/>
          <w:szCs w:val="28"/>
          <w:shd w:val="clear" w:color="auto" w:fill="FFFFFF"/>
          <w:lang w:val="uk-UA"/>
        </w:rPr>
        <w:t xml:space="preserve">1 мл розчину містить натрію хлориду 9 мг; </w:t>
      </w:r>
      <w:r w:rsidRPr="00012F54">
        <w:rPr>
          <w:rFonts w:ascii="Times New Roman" w:hAnsi="Times New Roman"/>
          <w:sz w:val="28"/>
          <w:szCs w:val="28"/>
          <w:lang w:val="uk-UA"/>
        </w:rPr>
        <w:t>допоміжна речовина: вода для ін’єкцій.</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Форма випуску. </w:t>
      </w:r>
      <w:r w:rsidRPr="00012F54">
        <w:rPr>
          <w:rFonts w:ascii="Times New Roman" w:hAnsi="Times New Roman"/>
          <w:color w:val="000000"/>
          <w:sz w:val="28"/>
          <w:szCs w:val="28"/>
          <w:shd w:val="clear" w:color="auto" w:fill="FFFFFF"/>
          <w:lang w:val="uk-UA"/>
        </w:rPr>
        <w:t>Розчин для ін'єкцій 0.9% по 5 мл в ампулах № 10.</w:t>
      </w:r>
    </w:p>
    <w:p w:rsidR="00012F54" w:rsidRPr="00012F54" w:rsidRDefault="00012F54" w:rsidP="00B065B6">
      <w:pPr>
        <w:pStyle w:val="c11"/>
        <w:widowControl w:val="0"/>
        <w:spacing w:before="0" w:beforeAutospacing="0" w:after="0" w:afterAutospacing="0" w:line="360" w:lineRule="auto"/>
        <w:ind w:firstLine="284"/>
        <w:jc w:val="both"/>
        <w:rPr>
          <w:sz w:val="28"/>
          <w:szCs w:val="28"/>
          <w:shd w:val="clear" w:color="auto" w:fill="FFFFFF"/>
          <w:lang w:val="uk-UA"/>
        </w:rPr>
      </w:pPr>
      <w:r w:rsidRPr="00012F54">
        <w:rPr>
          <w:rStyle w:val="hps"/>
          <w:sz w:val="28"/>
          <w:szCs w:val="28"/>
          <w:lang w:val="uk-UA"/>
        </w:rPr>
        <w:t>Умови зберігання</w:t>
      </w:r>
      <w:r w:rsidRPr="00012F54">
        <w:rPr>
          <w:sz w:val="28"/>
          <w:szCs w:val="28"/>
          <w:lang w:val="uk-UA"/>
        </w:rPr>
        <w:t xml:space="preserve">. </w:t>
      </w:r>
      <w:r w:rsidRPr="00012F54">
        <w:rPr>
          <w:sz w:val="28"/>
          <w:szCs w:val="28"/>
          <w:shd w:val="clear" w:color="auto" w:fill="FFFFFF"/>
          <w:lang w:val="uk-UA"/>
        </w:rPr>
        <w:t xml:space="preserve">Зберігати при кімнатній температурі не вище 25 °С у місці, недоступному для дітей. </w:t>
      </w:r>
    </w:p>
    <w:p w:rsidR="00012F54" w:rsidRPr="00012F54" w:rsidRDefault="00012F54" w:rsidP="00B065B6">
      <w:pPr>
        <w:pStyle w:val="c11"/>
        <w:widowControl w:val="0"/>
        <w:spacing w:before="0" w:beforeAutospacing="0" w:after="0" w:afterAutospacing="0" w:line="360" w:lineRule="auto"/>
        <w:ind w:firstLine="284"/>
        <w:jc w:val="both"/>
        <w:rPr>
          <w:sz w:val="28"/>
          <w:szCs w:val="28"/>
          <w:lang w:val="uk-UA"/>
        </w:rPr>
      </w:pPr>
      <w:r w:rsidRPr="00012F54">
        <w:rPr>
          <w:rStyle w:val="hps"/>
          <w:sz w:val="28"/>
          <w:szCs w:val="28"/>
          <w:lang w:val="uk-UA"/>
        </w:rPr>
        <w:t>Термін придатності</w:t>
      </w:r>
      <w:r w:rsidRPr="00012F54">
        <w:rPr>
          <w:sz w:val="28"/>
          <w:szCs w:val="28"/>
          <w:lang w:val="uk-UA"/>
        </w:rPr>
        <w:t>. 11.2021 р.</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Style w:val="hps"/>
          <w:rFonts w:ascii="Times New Roman" w:hAnsi="Times New Roman"/>
          <w:sz w:val="28"/>
          <w:szCs w:val="28"/>
          <w:lang w:val="uk-UA"/>
        </w:rPr>
        <w:t>Повна характеристика препарату наведена в сертифікаті якості</w:t>
      </w:r>
      <w:r w:rsidRPr="00012F54">
        <w:rPr>
          <w:rFonts w:ascii="Times New Roman" w:hAnsi="Times New Roman"/>
          <w:sz w:val="28"/>
          <w:szCs w:val="28"/>
          <w:lang w:val="uk-UA"/>
        </w:rPr>
        <w:t xml:space="preserve"> № 24 від 31.10.2016 р.</w:t>
      </w:r>
    </w:p>
    <w:p w:rsidR="00012F54" w:rsidRPr="00012F54" w:rsidRDefault="00012F54" w:rsidP="00B065B6">
      <w:pPr>
        <w:widowControl w:val="0"/>
        <w:spacing w:after="0" w:line="360" w:lineRule="auto"/>
        <w:ind w:firstLine="284"/>
        <w:jc w:val="both"/>
        <w:rPr>
          <w:rFonts w:ascii="Times New Roman" w:eastAsia="TimesNewRomanPSMT" w:hAnsi="Times New Roman"/>
          <w:sz w:val="28"/>
          <w:szCs w:val="28"/>
          <w:lang w:val="uk-UA"/>
        </w:rPr>
      </w:pPr>
      <w:r w:rsidRPr="00012F54">
        <w:rPr>
          <w:rFonts w:ascii="Times New Roman" w:hAnsi="Times New Roman"/>
          <w:iCs/>
          <w:sz w:val="28"/>
          <w:szCs w:val="28"/>
          <w:lang w:val="uk-UA"/>
        </w:rPr>
        <w:t>Референсний препарат № 5.</w:t>
      </w:r>
      <w:r w:rsidRPr="00012F54">
        <w:rPr>
          <w:rFonts w:ascii="Times New Roman" w:eastAsia="TimesNewRomanPSMT" w:hAnsi="Times New Roman"/>
          <w:sz w:val="28"/>
          <w:szCs w:val="28"/>
          <w:lang w:val="uk-UA"/>
        </w:rPr>
        <w:t xml:space="preserve">"Німотоп" </w:t>
      </w:r>
      <w:r w:rsidRPr="00012F54">
        <w:rPr>
          <w:rFonts w:ascii="Times New Roman" w:hAnsi="Times New Roman"/>
          <w:sz w:val="28"/>
          <w:szCs w:val="28"/>
          <w:lang w:val="uk-UA"/>
        </w:rPr>
        <w:t>"BayerHealthСare AG";"Bayer AG"</w:t>
      </w:r>
      <w:r w:rsidRPr="00012F54">
        <w:rPr>
          <w:rFonts w:ascii="Times New Roman" w:eastAsia="TimesNewRomanPSMT" w:hAnsi="Times New Roman"/>
          <w:sz w:val="28"/>
          <w:szCs w:val="28"/>
          <w:lang w:val="uk-UA"/>
        </w:rPr>
        <w:t xml:space="preserve">, Німеччина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Назва. </w:t>
      </w:r>
      <w:r w:rsidRPr="00012F54">
        <w:rPr>
          <w:rFonts w:ascii="Times New Roman" w:eastAsia="TimesNewRomanPSMT" w:hAnsi="Times New Roman"/>
          <w:sz w:val="28"/>
          <w:szCs w:val="28"/>
          <w:lang w:val="uk-UA"/>
        </w:rPr>
        <w:t>Німотоп</w:t>
      </w:r>
    </w:p>
    <w:p w:rsidR="00012F54" w:rsidRPr="00012F54" w:rsidRDefault="00012F54" w:rsidP="00B065B6">
      <w:pPr>
        <w:widowControl w:val="0"/>
        <w:spacing w:after="0" w:line="360" w:lineRule="auto"/>
        <w:ind w:firstLine="284"/>
        <w:jc w:val="both"/>
        <w:rPr>
          <w:rFonts w:ascii="Times New Roman" w:hAnsi="Times New Roman"/>
          <w:sz w:val="28"/>
          <w:szCs w:val="28"/>
          <w:shd w:val="clear" w:color="auto" w:fill="FFFFFF"/>
          <w:lang w:val="uk-UA"/>
        </w:rPr>
      </w:pPr>
      <w:r w:rsidRPr="00012F54">
        <w:rPr>
          <w:rFonts w:ascii="Times New Roman" w:hAnsi="Times New Roman"/>
          <w:sz w:val="28"/>
          <w:szCs w:val="28"/>
          <w:lang w:val="uk-UA"/>
        </w:rPr>
        <w:t xml:space="preserve">Фармакотерапевтична група. </w:t>
      </w:r>
      <w:r w:rsidRPr="00012F54">
        <w:rPr>
          <w:rFonts w:ascii="Times New Roman" w:hAnsi="Times New Roman"/>
          <w:sz w:val="28"/>
          <w:szCs w:val="28"/>
          <w:shd w:val="clear" w:color="auto" w:fill="FFFFFF"/>
          <w:lang w:val="uk-UA"/>
        </w:rPr>
        <w:t xml:space="preserve">Селективні блокатори кальцієвих каналів з </w:t>
      </w:r>
      <w:r w:rsidRPr="00012F54">
        <w:rPr>
          <w:rFonts w:ascii="Times New Roman" w:hAnsi="Times New Roman"/>
          <w:sz w:val="28"/>
          <w:szCs w:val="28"/>
          <w:shd w:val="clear" w:color="auto" w:fill="FFFFFF"/>
          <w:lang w:val="uk-UA"/>
        </w:rPr>
        <w:lastRenderedPageBreak/>
        <w:t xml:space="preserve">переважним впливом на судини. Похідні дигідропіридину. Код </w:t>
      </w:r>
      <w:hyperlink r:id="rId25" w:tooltip="ATC-класифікація" w:history="1">
        <w:r w:rsidRPr="00012F54">
          <w:rPr>
            <w:rFonts w:ascii="Times New Roman" w:hAnsi="Times New Roman"/>
            <w:sz w:val="28"/>
            <w:szCs w:val="28"/>
          </w:rPr>
          <w:t xml:space="preserve"> АТС</w:t>
        </w:r>
      </w:hyperlink>
      <w:r w:rsidRPr="00012F54">
        <w:rPr>
          <w:rFonts w:ascii="Times New Roman" w:hAnsi="Times New Roman"/>
          <w:sz w:val="28"/>
          <w:szCs w:val="28"/>
          <w:shd w:val="clear" w:color="auto" w:fill="FFFFFF"/>
          <w:lang w:val="uk-UA"/>
        </w:rPr>
        <w:t xml:space="preserve"> С08С А06.</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Номер серії: 050614</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Дата виготовлення: 05.06.2014р.</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Склад. </w:t>
      </w:r>
      <w:r w:rsidRPr="00012F54">
        <w:rPr>
          <w:rFonts w:ascii="Times New Roman" w:hAnsi="Times New Roman"/>
          <w:iCs/>
          <w:sz w:val="28"/>
          <w:szCs w:val="28"/>
          <w:lang w:val="uk-UA"/>
        </w:rPr>
        <w:t xml:space="preserve">Діючі речовини: </w:t>
      </w:r>
      <w:r w:rsidRPr="00012F54">
        <w:rPr>
          <w:rFonts w:ascii="Times New Roman" w:hAnsi="Times New Roman"/>
          <w:sz w:val="28"/>
          <w:szCs w:val="28"/>
          <w:lang w:val="uk-UA"/>
        </w:rPr>
        <w:t>1 таблетка містить 30 мг німодипіну</w:t>
      </w:r>
      <w:r w:rsidRPr="00012F54">
        <w:rPr>
          <w:rFonts w:ascii="Times New Roman" w:hAnsi="Times New Roman"/>
          <w:sz w:val="28"/>
          <w:szCs w:val="28"/>
          <w:shd w:val="clear" w:color="auto" w:fill="FFFFFF"/>
          <w:lang w:val="uk-UA"/>
        </w:rPr>
        <w:t xml:space="preserve">; </w:t>
      </w:r>
      <w:r w:rsidRPr="00012F54">
        <w:rPr>
          <w:rFonts w:ascii="Times New Roman" w:hAnsi="Times New Roman"/>
          <w:i/>
          <w:iCs/>
          <w:sz w:val="28"/>
          <w:szCs w:val="28"/>
          <w:lang w:val="uk-UA"/>
        </w:rPr>
        <w:t>допоміжні речовини</w:t>
      </w:r>
      <w:r w:rsidRPr="00012F54">
        <w:rPr>
          <w:rFonts w:ascii="Times New Roman" w:hAnsi="Times New Roman"/>
          <w:sz w:val="28"/>
          <w:szCs w:val="28"/>
          <w:lang w:val="uk-UA"/>
        </w:rPr>
        <w:t>: целюлоза мікрокристалічна, кросповідон, магнію стеарат, крохмаль кукурудзяний, повідон, заліза оксид жовтий (Е 172), макрогол 4000, гіпромелоза, титану діоксид (Е 171).</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Форма випуску. Таблетки, вкриті плівковою оболонкою, по 30 мг №30, №100 </w:t>
      </w:r>
    </w:p>
    <w:p w:rsidR="00012F54" w:rsidRPr="00012F54" w:rsidRDefault="00012F54" w:rsidP="00B065B6">
      <w:pPr>
        <w:pStyle w:val="c11"/>
        <w:widowControl w:val="0"/>
        <w:spacing w:before="0" w:beforeAutospacing="0" w:after="0" w:afterAutospacing="0" w:line="360" w:lineRule="auto"/>
        <w:ind w:firstLine="284"/>
        <w:jc w:val="both"/>
        <w:rPr>
          <w:sz w:val="28"/>
          <w:szCs w:val="28"/>
          <w:shd w:val="clear" w:color="auto" w:fill="FFFFFF"/>
          <w:lang w:val="uk-UA"/>
        </w:rPr>
      </w:pPr>
      <w:r w:rsidRPr="00012F54">
        <w:rPr>
          <w:rStyle w:val="hps"/>
          <w:sz w:val="28"/>
          <w:szCs w:val="28"/>
          <w:lang w:val="uk-UA"/>
        </w:rPr>
        <w:t>Умови зберігання</w:t>
      </w:r>
      <w:r w:rsidRPr="00012F54">
        <w:rPr>
          <w:sz w:val="28"/>
          <w:szCs w:val="28"/>
          <w:lang w:val="uk-UA"/>
        </w:rPr>
        <w:t xml:space="preserve">. </w:t>
      </w:r>
      <w:r w:rsidRPr="00012F54">
        <w:rPr>
          <w:sz w:val="28"/>
          <w:szCs w:val="28"/>
          <w:shd w:val="clear" w:color="auto" w:fill="FFFFFF"/>
          <w:lang w:val="uk-UA"/>
        </w:rPr>
        <w:t xml:space="preserve">Зберігати при кімнатній температурі не вище 25 °С у місці, недоступному для дітей. </w:t>
      </w:r>
    </w:p>
    <w:p w:rsidR="00012F54" w:rsidRPr="00012F54" w:rsidRDefault="00012F54" w:rsidP="00B065B6">
      <w:pPr>
        <w:pStyle w:val="c11"/>
        <w:widowControl w:val="0"/>
        <w:spacing w:before="0" w:beforeAutospacing="0" w:after="0" w:afterAutospacing="0" w:line="360" w:lineRule="auto"/>
        <w:ind w:firstLine="284"/>
        <w:jc w:val="both"/>
        <w:rPr>
          <w:sz w:val="28"/>
          <w:szCs w:val="28"/>
          <w:lang w:val="uk-UA"/>
        </w:rPr>
      </w:pPr>
      <w:r w:rsidRPr="00012F54">
        <w:rPr>
          <w:rStyle w:val="hps"/>
          <w:sz w:val="28"/>
          <w:szCs w:val="28"/>
          <w:lang w:val="uk-UA"/>
        </w:rPr>
        <w:t>Термін придатності</w:t>
      </w:r>
      <w:r w:rsidRPr="00012F54">
        <w:rPr>
          <w:sz w:val="28"/>
          <w:szCs w:val="28"/>
          <w:lang w:val="uk-UA"/>
        </w:rPr>
        <w:t>. 05.2029 р.</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Style w:val="hps"/>
          <w:rFonts w:ascii="Times New Roman" w:hAnsi="Times New Roman"/>
          <w:sz w:val="28"/>
          <w:szCs w:val="28"/>
          <w:lang w:val="uk-UA"/>
        </w:rPr>
        <w:t>Повна характеристика препарату наведена в се</w:t>
      </w:r>
      <w:r w:rsidRPr="00506E62">
        <w:rPr>
          <w:rStyle w:val="hps"/>
          <w:rFonts w:ascii="Times New Roman" w:hAnsi="Times New Roman"/>
          <w:sz w:val="28"/>
          <w:szCs w:val="28"/>
          <w:lang w:val="uk-UA"/>
        </w:rPr>
        <w:t>р</w:t>
      </w:r>
      <w:r w:rsidRPr="00012F54">
        <w:rPr>
          <w:rStyle w:val="hps"/>
          <w:rFonts w:ascii="Times New Roman" w:hAnsi="Times New Roman"/>
          <w:sz w:val="28"/>
          <w:szCs w:val="28"/>
          <w:lang w:val="uk-UA"/>
        </w:rPr>
        <w:t>тифікаті якості</w:t>
      </w:r>
      <w:r w:rsidR="00506E62" w:rsidRPr="00506E62">
        <w:rPr>
          <w:rFonts w:ascii="Times New Roman" w:hAnsi="Times New Roman"/>
          <w:sz w:val="24"/>
          <w:szCs w:val="24"/>
          <w:lang w:val="uk-UA"/>
        </w:rPr>
        <w:t>№</w:t>
      </w:r>
      <w:r w:rsidRPr="00012F54">
        <w:rPr>
          <w:rFonts w:ascii="Times New Roman" w:hAnsi="Times New Roman"/>
          <w:sz w:val="28"/>
          <w:szCs w:val="28"/>
          <w:lang w:val="uk-UA"/>
        </w:rPr>
        <w:t xml:space="preserve"> 5 від </w:t>
      </w:r>
      <w:r w:rsidRPr="00506E62">
        <w:rPr>
          <w:rFonts w:ascii="Times New Roman" w:hAnsi="Times New Roman"/>
          <w:sz w:val="24"/>
          <w:szCs w:val="24"/>
          <w:lang w:val="uk-UA"/>
        </w:rPr>
        <w:t>05.06.2014</w:t>
      </w:r>
      <w:r w:rsidR="00506E62">
        <w:rPr>
          <w:rFonts w:ascii="Times New Roman" w:hAnsi="Times New Roman"/>
          <w:sz w:val="28"/>
          <w:szCs w:val="28"/>
          <w:lang w:val="uk-UA"/>
        </w:rPr>
        <w:t xml:space="preserve"> р.</w:t>
      </w:r>
    </w:p>
    <w:p w:rsidR="00012F54" w:rsidRPr="00012F54" w:rsidRDefault="00012F54" w:rsidP="00B065B6">
      <w:pPr>
        <w:widowControl w:val="0"/>
        <w:spacing w:after="0" w:line="360" w:lineRule="auto"/>
        <w:ind w:firstLine="284"/>
        <w:jc w:val="both"/>
        <w:rPr>
          <w:rFonts w:ascii="Times New Roman" w:eastAsia="TimesNewRomanPSMT" w:hAnsi="Times New Roman"/>
          <w:sz w:val="28"/>
          <w:szCs w:val="28"/>
          <w:lang w:val="uk-UA"/>
        </w:rPr>
      </w:pPr>
      <w:r w:rsidRPr="00012F54">
        <w:rPr>
          <w:rFonts w:ascii="Times New Roman" w:hAnsi="Times New Roman"/>
          <w:iCs/>
          <w:sz w:val="28"/>
          <w:szCs w:val="28"/>
          <w:lang w:val="uk-UA"/>
        </w:rPr>
        <w:t>Референсний препарат № 6.</w:t>
      </w:r>
      <w:r w:rsidRPr="00012F54">
        <w:rPr>
          <w:rFonts w:ascii="Times New Roman" w:eastAsia="TimesNewRomanPSMT" w:hAnsi="Times New Roman"/>
          <w:sz w:val="28"/>
          <w:szCs w:val="28"/>
          <w:lang w:val="uk-UA"/>
        </w:rPr>
        <w:t xml:space="preserve">Німотоп. </w:t>
      </w:r>
      <w:r w:rsidRPr="00012F54">
        <w:rPr>
          <w:rFonts w:ascii="Times New Roman" w:hAnsi="Times New Roman"/>
          <w:sz w:val="28"/>
          <w:szCs w:val="28"/>
          <w:lang w:val="uk-UA"/>
        </w:rPr>
        <w:t>«BayerHealthСare AG»; «Bayer AG»</w:t>
      </w:r>
      <w:r w:rsidRPr="00012F54">
        <w:rPr>
          <w:rFonts w:ascii="Times New Roman" w:eastAsia="TimesNewRomanPSMT" w:hAnsi="Times New Roman"/>
          <w:sz w:val="28"/>
          <w:szCs w:val="28"/>
          <w:lang w:val="uk-UA"/>
        </w:rPr>
        <w:t xml:space="preserve">, Німеччина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Назва. </w:t>
      </w:r>
      <w:r w:rsidRPr="00012F54">
        <w:rPr>
          <w:rFonts w:ascii="Times New Roman" w:eastAsia="TimesNewRomanPSMT" w:hAnsi="Times New Roman"/>
          <w:sz w:val="28"/>
          <w:szCs w:val="28"/>
          <w:lang w:val="uk-UA"/>
        </w:rPr>
        <w:t>Німотоп</w:t>
      </w:r>
    </w:p>
    <w:p w:rsidR="00012F54" w:rsidRPr="00012F54" w:rsidRDefault="00012F54" w:rsidP="00B065B6">
      <w:pPr>
        <w:widowControl w:val="0"/>
        <w:spacing w:after="0" w:line="360" w:lineRule="auto"/>
        <w:ind w:firstLine="284"/>
        <w:jc w:val="both"/>
        <w:rPr>
          <w:rFonts w:ascii="Times New Roman" w:hAnsi="Times New Roman"/>
          <w:sz w:val="28"/>
          <w:szCs w:val="28"/>
          <w:shd w:val="clear" w:color="auto" w:fill="FFFFFF"/>
          <w:lang w:val="uk-UA"/>
        </w:rPr>
      </w:pPr>
      <w:r w:rsidRPr="00012F54">
        <w:rPr>
          <w:rFonts w:ascii="Times New Roman" w:hAnsi="Times New Roman"/>
          <w:sz w:val="28"/>
          <w:szCs w:val="28"/>
          <w:lang w:val="uk-UA"/>
        </w:rPr>
        <w:t xml:space="preserve">Фармакотерапевтична група. </w:t>
      </w:r>
      <w:r w:rsidRPr="00012F54">
        <w:rPr>
          <w:rFonts w:ascii="Times New Roman" w:hAnsi="Times New Roman"/>
          <w:sz w:val="28"/>
          <w:szCs w:val="28"/>
          <w:shd w:val="clear" w:color="auto" w:fill="FFFFFF"/>
          <w:lang w:val="uk-UA"/>
        </w:rPr>
        <w:t xml:space="preserve">Селективні блокатори кальцієвих каналів з переважним впливом на судини. Похідні дигідропіридину. Код </w:t>
      </w:r>
      <w:hyperlink r:id="rId26" w:tooltip="ATC-класифікація" w:history="1">
        <w:r w:rsidRPr="00012F54">
          <w:rPr>
            <w:rFonts w:ascii="Times New Roman" w:hAnsi="Times New Roman"/>
            <w:sz w:val="28"/>
            <w:szCs w:val="28"/>
          </w:rPr>
          <w:t>АТС</w:t>
        </w:r>
      </w:hyperlink>
      <w:r w:rsidRPr="00012F54">
        <w:rPr>
          <w:rFonts w:ascii="Times New Roman" w:hAnsi="Times New Roman"/>
          <w:sz w:val="28"/>
          <w:szCs w:val="28"/>
          <w:shd w:val="clear" w:color="auto" w:fill="FFFFFF"/>
          <w:lang w:val="uk-UA"/>
        </w:rPr>
        <w:t xml:space="preserve"> С08С А06.</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Номер серії: 131115</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Дата виготовлення: 13.11.2015 р.</w:t>
      </w:r>
    </w:p>
    <w:p w:rsidR="00012F54" w:rsidRPr="00012F54" w:rsidRDefault="00012F54" w:rsidP="00B065B6">
      <w:pPr>
        <w:widowControl w:val="0"/>
        <w:spacing w:after="0" w:line="360" w:lineRule="auto"/>
        <w:ind w:firstLine="284"/>
        <w:jc w:val="both"/>
        <w:rPr>
          <w:rFonts w:ascii="Times New Roman" w:hAnsi="Times New Roman"/>
          <w:sz w:val="28"/>
          <w:szCs w:val="28"/>
          <w:shd w:val="clear" w:color="auto" w:fill="FFFFFF"/>
          <w:lang w:val="uk-UA"/>
        </w:rPr>
      </w:pPr>
      <w:r w:rsidRPr="00012F54">
        <w:rPr>
          <w:rFonts w:ascii="Times New Roman" w:hAnsi="Times New Roman"/>
          <w:sz w:val="28"/>
          <w:szCs w:val="28"/>
          <w:lang w:val="uk-UA"/>
        </w:rPr>
        <w:t xml:space="preserve">Склад. </w:t>
      </w:r>
      <w:r w:rsidRPr="00012F54">
        <w:rPr>
          <w:rFonts w:ascii="Times New Roman" w:hAnsi="Times New Roman"/>
          <w:iCs/>
          <w:sz w:val="28"/>
          <w:szCs w:val="28"/>
          <w:lang w:val="uk-UA"/>
        </w:rPr>
        <w:t xml:space="preserve">Діючі речовини: </w:t>
      </w:r>
      <w:r w:rsidRPr="00012F54">
        <w:rPr>
          <w:rFonts w:ascii="Times New Roman" w:hAnsi="Times New Roman"/>
          <w:sz w:val="28"/>
          <w:szCs w:val="28"/>
          <w:shd w:val="clear" w:color="auto" w:fill="FFFFFF"/>
          <w:lang w:val="uk-UA"/>
        </w:rPr>
        <w:t>1 флакон 50 мл містить 10 мг німодипіну.</w:t>
      </w:r>
    </w:p>
    <w:p w:rsidR="00012F54" w:rsidRPr="00012F54" w:rsidRDefault="00012F54" w:rsidP="00B065B6">
      <w:pPr>
        <w:widowControl w:val="0"/>
        <w:spacing w:after="0" w:line="360" w:lineRule="auto"/>
        <w:ind w:firstLine="284"/>
        <w:jc w:val="both"/>
        <w:rPr>
          <w:rFonts w:ascii="Times New Roman" w:hAnsi="Times New Roman"/>
          <w:sz w:val="28"/>
          <w:szCs w:val="28"/>
        </w:rPr>
      </w:pPr>
      <w:r w:rsidRPr="00012F54">
        <w:rPr>
          <w:rFonts w:ascii="Times New Roman" w:hAnsi="Times New Roman"/>
          <w:sz w:val="28"/>
          <w:szCs w:val="28"/>
        </w:rPr>
        <w:t xml:space="preserve">Допоміжніречовини: </w:t>
      </w:r>
      <w:r w:rsidRPr="00012F54">
        <w:rPr>
          <w:rFonts w:ascii="Times New Roman" w:hAnsi="Times New Roman"/>
          <w:sz w:val="28"/>
          <w:szCs w:val="28"/>
          <w:shd w:val="clear" w:color="auto" w:fill="FFFFFF"/>
        </w:rPr>
        <w:t>спирт етиловий 96 %, макрогол 400, натрію цитрат, кислота лимонна безводна, вода для ін’єкцій.</w:t>
      </w:r>
    </w:p>
    <w:p w:rsidR="00012F54" w:rsidRPr="00012F54" w:rsidRDefault="00012F54" w:rsidP="00B065B6">
      <w:pPr>
        <w:widowControl w:val="0"/>
        <w:tabs>
          <w:tab w:val="num" w:pos="-142"/>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Форма випуску. </w:t>
      </w:r>
      <w:r w:rsidRPr="00012F54">
        <w:rPr>
          <w:rFonts w:ascii="Times New Roman" w:hAnsi="Times New Roman"/>
          <w:sz w:val="28"/>
          <w:szCs w:val="28"/>
          <w:shd w:val="clear" w:color="auto" w:fill="FFFFFF"/>
          <w:lang w:val="uk-UA"/>
        </w:rPr>
        <w:t>Розчин для інфузій по  50 мл у флаконі; по 1 флакону разом з поліетиленовою сполучною трубкою для інфузомата у картонній коробці, по 5 коробок в упаковці з поліетилену. </w:t>
      </w:r>
    </w:p>
    <w:p w:rsidR="00012F54" w:rsidRPr="00012F54" w:rsidRDefault="00012F54" w:rsidP="00B065B6">
      <w:pPr>
        <w:pStyle w:val="c11"/>
        <w:widowControl w:val="0"/>
        <w:spacing w:before="0" w:beforeAutospacing="0" w:after="0" w:afterAutospacing="0" w:line="360" w:lineRule="auto"/>
        <w:ind w:firstLine="284"/>
        <w:jc w:val="both"/>
        <w:rPr>
          <w:sz w:val="28"/>
          <w:szCs w:val="28"/>
          <w:shd w:val="clear" w:color="auto" w:fill="FFFFFF"/>
          <w:lang w:val="uk-UA"/>
        </w:rPr>
      </w:pPr>
      <w:r w:rsidRPr="00012F54">
        <w:rPr>
          <w:rStyle w:val="hps"/>
          <w:sz w:val="28"/>
          <w:szCs w:val="28"/>
          <w:lang w:val="uk-UA"/>
        </w:rPr>
        <w:t>Умови зберігання</w:t>
      </w:r>
      <w:r w:rsidRPr="00012F54">
        <w:rPr>
          <w:sz w:val="28"/>
          <w:szCs w:val="28"/>
          <w:lang w:val="uk-UA"/>
        </w:rPr>
        <w:t xml:space="preserve">. </w:t>
      </w:r>
      <w:r w:rsidRPr="00012F54">
        <w:rPr>
          <w:sz w:val="28"/>
          <w:szCs w:val="28"/>
          <w:shd w:val="clear" w:color="auto" w:fill="FFFFFF"/>
          <w:lang w:val="uk-UA"/>
        </w:rPr>
        <w:t xml:space="preserve">Зберігати при кімнатній температурі не вище 25 °С у місці, недоступному для дітей. </w:t>
      </w:r>
    </w:p>
    <w:p w:rsidR="00012F54" w:rsidRPr="00012F54" w:rsidRDefault="00012F54" w:rsidP="00B065B6">
      <w:pPr>
        <w:pStyle w:val="c11"/>
        <w:widowControl w:val="0"/>
        <w:spacing w:before="0" w:beforeAutospacing="0" w:after="0" w:afterAutospacing="0" w:line="360" w:lineRule="auto"/>
        <w:ind w:firstLine="284"/>
        <w:jc w:val="both"/>
        <w:rPr>
          <w:sz w:val="28"/>
          <w:szCs w:val="28"/>
          <w:lang w:val="uk-UA"/>
        </w:rPr>
      </w:pPr>
      <w:r w:rsidRPr="00012F54">
        <w:rPr>
          <w:rStyle w:val="hps"/>
          <w:sz w:val="28"/>
          <w:szCs w:val="28"/>
          <w:lang w:val="uk-UA"/>
        </w:rPr>
        <w:t>Термін придатності</w:t>
      </w:r>
      <w:r w:rsidRPr="00012F54">
        <w:rPr>
          <w:sz w:val="28"/>
          <w:szCs w:val="28"/>
          <w:lang w:val="uk-UA"/>
        </w:rPr>
        <w:t>. 11.2021 р.</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Style w:val="hps"/>
          <w:rFonts w:ascii="Times New Roman" w:hAnsi="Times New Roman"/>
          <w:sz w:val="28"/>
          <w:szCs w:val="28"/>
          <w:lang w:val="uk-UA"/>
        </w:rPr>
        <w:t>Повна характеристика препарату наведена в сертифікаті якості</w:t>
      </w:r>
      <w:r w:rsidRPr="00012F54">
        <w:rPr>
          <w:rFonts w:ascii="Times New Roman" w:hAnsi="Times New Roman"/>
          <w:sz w:val="28"/>
          <w:szCs w:val="28"/>
          <w:lang w:val="uk-UA"/>
        </w:rPr>
        <w:t xml:space="preserve"> № 11 від 13.11.2015.</w:t>
      </w:r>
    </w:p>
    <w:p w:rsidR="00012F54" w:rsidRPr="00012F54" w:rsidRDefault="00012F54" w:rsidP="00B065B6">
      <w:pPr>
        <w:spacing w:after="0" w:line="360" w:lineRule="auto"/>
        <w:ind w:firstLine="284"/>
        <w:jc w:val="both"/>
        <w:rPr>
          <w:rFonts w:ascii="Times New Roman" w:hAnsi="Times New Roman"/>
          <w:bCs/>
          <w:sz w:val="28"/>
          <w:szCs w:val="28"/>
          <w:lang w:val="uk-UA"/>
        </w:rPr>
      </w:pPr>
      <w:r w:rsidRPr="00012F54">
        <w:rPr>
          <w:rFonts w:ascii="Times New Roman" w:hAnsi="Times New Roman"/>
          <w:sz w:val="28"/>
          <w:szCs w:val="28"/>
          <w:lang w:val="uk-UA"/>
        </w:rPr>
        <w:lastRenderedPageBreak/>
        <w:t xml:space="preserve">Моделювання ГІ та дослідження функціональних параметрів, оцінка динаміки виживаності тварин, неврологічного дефіциту у щурів і мнемотропної активності у препаратів, проводили на базі </w:t>
      </w:r>
      <w:r w:rsidRPr="00012F54">
        <w:rPr>
          <w:rFonts w:ascii="Times New Roman" w:hAnsi="Times New Roman"/>
          <w:bCs/>
          <w:sz w:val="28"/>
          <w:szCs w:val="28"/>
          <w:lang w:val="uk-UA"/>
        </w:rPr>
        <w:t xml:space="preserve">Науково-дослідна лабораторія доклінічного вивчення фармакологічних речовин </w:t>
      </w:r>
      <w:r w:rsidRPr="00012F54">
        <w:rPr>
          <w:rFonts w:ascii="Times New Roman" w:hAnsi="Times New Roman"/>
          <w:sz w:val="28"/>
          <w:szCs w:val="28"/>
          <w:lang w:val="uk-UA"/>
        </w:rPr>
        <w:t xml:space="preserve">(свідоцтво МОЗ України про переатестацію № 023/13 від 05.03.2013 р., свідоцтво про технічну компетентність №030/18 від 1 листопада 2018 р.. чинне </w:t>
      </w:r>
      <w:r w:rsidRPr="00012F54">
        <w:rPr>
          <w:rFonts w:ascii="Times New Roman" w:hAnsi="Times New Roman"/>
          <w:bCs/>
          <w:sz w:val="28"/>
          <w:szCs w:val="28"/>
          <w:lang w:val="uk-UA"/>
        </w:rPr>
        <w:t>до 31 жовтня 2023 р.),  та ННДЛ «Фармадар» за допомогою д.мед.н., професора кафедри фармакології О.А. Ходаківського.</w:t>
      </w:r>
    </w:p>
    <w:p w:rsidR="00012F54" w:rsidRPr="005879AB" w:rsidRDefault="00012F54" w:rsidP="005879AB">
      <w:pPr>
        <w:pStyle w:val="2"/>
        <w:spacing w:line="360" w:lineRule="auto"/>
        <w:ind w:firstLine="284"/>
        <w:jc w:val="both"/>
        <w:rPr>
          <w:rFonts w:ascii="Times New Roman" w:eastAsia="Times New Roman" w:hAnsi="Times New Roman" w:cs="Times New Roman"/>
          <w:bCs/>
          <w:color w:val="auto"/>
          <w:sz w:val="28"/>
          <w:szCs w:val="28"/>
          <w:lang w:val="uk-UA"/>
        </w:rPr>
      </w:pPr>
      <w:r w:rsidRPr="005879AB">
        <w:rPr>
          <w:rFonts w:ascii="Times New Roman" w:eastAsia="Times New Roman" w:hAnsi="Times New Roman" w:cs="Times New Roman"/>
          <w:bCs/>
          <w:color w:val="auto"/>
          <w:sz w:val="28"/>
          <w:szCs w:val="28"/>
          <w:lang w:val="uk-UA"/>
        </w:rPr>
        <w:t>2.4. Загальна характеристика біохімічних, цитометричних та морфологічних (гістологічних) методів дослідження</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bCs/>
          <w:sz w:val="28"/>
          <w:szCs w:val="28"/>
          <w:lang w:val="uk-UA"/>
        </w:rPr>
        <w:t xml:space="preserve">Біохімічні дослідження виконані на базі кафедри біологічної та загальної хімії та Науково-дослідної </w:t>
      </w:r>
      <w:r w:rsidRPr="00F15182">
        <w:rPr>
          <w:rFonts w:ascii="Times New Roman" w:hAnsi="Times New Roman"/>
          <w:bCs/>
          <w:sz w:val="28"/>
          <w:szCs w:val="28"/>
          <w:lang w:val="uk-UA"/>
        </w:rPr>
        <w:t xml:space="preserve">клініко-діагностичної лабораторії ВНМУ ім. М.І. Пирогова, сертифікованої МОЗ (свідоцтво МОЗ України про переатестацію №049/15 від 02 березня 2015 р.). </w:t>
      </w:r>
      <w:r w:rsidR="00506E62" w:rsidRPr="00F15182">
        <w:rPr>
          <w:rFonts w:ascii="Times New Roman" w:hAnsi="Times New Roman"/>
          <w:bCs/>
          <w:sz w:val="28"/>
          <w:szCs w:val="28"/>
          <w:lang w:val="uk-UA"/>
        </w:rPr>
        <w:t xml:space="preserve"> за сприянням </w:t>
      </w:r>
      <w:r w:rsidRPr="00F15182">
        <w:rPr>
          <w:rFonts w:ascii="Times New Roman" w:hAnsi="Times New Roman"/>
          <w:bCs/>
          <w:sz w:val="28"/>
          <w:szCs w:val="28"/>
          <w:lang w:val="uk-UA"/>
        </w:rPr>
        <w:t>д.мед.н., проф. Мельника А. В. Морфологічну оцінку мікропрепаратів та протоково-цитометричний</w:t>
      </w:r>
      <w:r w:rsidRPr="00F15182">
        <w:rPr>
          <w:rFonts w:ascii="Times New Roman" w:hAnsi="Times New Roman"/>
          <w:sz w:val="28"/>
          <w:szCs w:val="28"/>
          <w:lang w:val="uk-UA"/>
        </w:rPr>
        <w:t xml:space="preserve"> аналіз проводився на базіНауково-дослідного центру функціональної морфології</w:t>
      </w:r>
      <w:r w:rsidRPr="00012F54">
        <w:rPr>
          <w:rFonts w:ascii="Times New Roman" w:hAnsi="Times New Roman"/>
          <w:sz w:val="28"/>
          <w:szCs w:val="28"/>
          <w:lang w:val="uk-UA"/>
        </w:rPr>
        <w:t xml:space="preserve"> та генетики розвитку ВНМУ ім. М.І. Пирогова, сертифікованої МОЗ України (свідоцтво МОЗ України про переатестацію №050/15 від 02 березня 2015 р.), за безпосередньої участі співробітника ст.н.с., к.мед.н., доц. кафедри очних хворобЧерешнюка І. Л (консультант з протоковоїцитометрії). Дисертант</w:t>
      </w:r>
      <w:r w:rsidR="00506E62">
        <w:rPr>
          <w:rFonts w:ascii="Times New Roman" w:hAnsi="Times New Roman"/>
          <w:sz w:val="28"/>
          <w:szCs w:val="28"/>
          <w:lang w:val="uk-UA"/>
        </w:rPr>
        <w:t xml:space="preserve">ка  всім зазначеним науковцям  висловлює </w:t>
      </w:r>
      <w:r w:rsidRPr="00012F54">
        <w:rPr>
          <w:rFonts w:ascii="Times New Roman" w:hAnsi="Times New Roman"/>
          <w:sz w:val="28"/>
          <w:szCs w:val="28"/>
          <w:lang w:val="uk-UA"/>
        </w:rPr>
        <w:t xml:space="preserve"> велику подяку.</w:t>
      </w:r>
    </w:p>
    <w:p w:rsidR="00506E62" w:rsidRDefault="00012F54" w:rsidP="00B065B6">
      <w:pPr>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За допомогою імуноферментного аналізу в сироватці крові тварин, використовуючи набор «NSE ELISA KIT» (DAI, США), визначали вміст нейронспецифічноїенолази (NSE; КФ 4.2.1.11), яка віддзеркалює у головному мозку нейродеструктивні та нейродегенеративні явища та рівень кортизолу за допомогою </w:t>
      </w:r>
      <w:r w:rsidRPr="00012F54">
        <w:rPr>
          <w:rStyle w:val="hps"/>
          <w:rFonts w:ascii="Times New Roman" w:hAnsi="Times New Roman"/>
          <w:sz w:val="28"/>
          <w:szCs w:val="28"/>
          <w:lang w:val="uk-UA"/>
        </w:rPr>
        <w:t xml:space="preserve">набору </w:t>
      </w:r>
      <w:r w:rsidRPr="00012F54">
        <w:rPr>
          <w:rStyle w:val="hps"/>
          <w:rFonts w:ascii="Times New Roman" w:hAnsi="Times New Roman"/>
          <w:sz w:val="28"/>
          <w:szCs w:val="28"/>
        </w:rPr>
        <w:t>CORTISOLKIT</w:t>
      </w:r>
      <w:r w:rsidRPr="00012F54">
        <w:rPr>
          <w:rStyle w:val="hps"/>
          <w:rFonts w:ascii="Times New Roman" w:hAnsi="Times New Roman"/>
          <w:sz w:val="28"/>
          <w:szCs w:val="28"/>
          <w:lang w:val="uk-UA"/>
        </w:rPr>
        <w:t xml:space="preserve"> (Німеччина)</w:t>
      </w:r>
      <w:r w:rsidR="00506E62">
        <w:rPr>
          <w:rFonts w:ascii="Times New Roman" w:hAnsi="Times New Roman"/>
          <w:sz w:val="28"/>
          <w:szCs w:val="28"/>
          <w:lang w:val="uk-UA"/>
        </w:rPr>
        <w:t xml:space="preserve">. </w:t>
      </w:r>
      <w:r w:rsidRPr="00012F54">
        <w:rPr>
          <w:rFonts w:ascii="Times New Roman" w:hAnsi="Times New Roman"/>
          <w:sz w:val="28"/>
          <w:szCs w:val="28"/>
          <w:lang w:val="uk-UA"/>
        </w:rPr>
        <w:t>Аналогічним чином, за допомогою набору</w:t>
      </w:r>
    </w:p>
    <w:p w:rsidR="00012F54" w:rsidRPr="00012F54" w:rsidRDefault="00012F54" w:rsidP="00B065B6">
      <w:pPr>
        <w:spacing w:after="0" w:line="360" w:lineRule="auto"/>
        <w:ind w:firstLine="284"/>
        <w:jc w:val="both"/>
        <w:rPr>
          <w:rStyle w:val="hps"/>
          <w:rFonts w:ascii="Times New Roman" w:hAnsi="Times New Roman"/>
          <w:sz w:val="28"/>
          <w:szCs w:val="28"/>
          <w:lang w:val="uk-UA"/>
        </w:rPr>
      </w:pPr>
      <w:r w:rsidRPr="00012F54">
        <w:rPr>
          <w:rFonts w:ascii="Times New Roman" w:hAnsi="Times New Roman"/>
          <w:sz w:val="28"/>
          <w:szCs w:val="28"/>
          <w:lang w:val="uk-UA"/>
        </w:rPr>
        <w:t xml:space="preserve"> «S 100 ELISA KIT» (FujirebioDiagnosticsInc., Швеція) визначали рівень білка S 100, що засвідчує інтенсивність нейропроліферативних змін. Сироватку добували опісля центрифугування крові, яку отримували із центральної вени (стегнової), шляхом прямої венопункції при 1600 g 10 хв за 19-21</w:t>
      </w:r>
      <w:r w:rsidRPr="00012F54">
        <w:rPr>
          <w:rFonts w:ascii="Times New Roman" w:hAnsi="Times New Roman"/>
          <w:sz w:val="28"/>
          <w:szCs w:val="28"/>
          <w:vertAlign w:val="superscript"/>
          <w:lang w:val="uk-UA"/>
        </w:rPr>
        <w:t>о</w:t>
      </w:r>
      <w:r w:rsidRPr="00012F54">
        <w:rPr>
          <w:rFonts w:ascii="Times New Roman" w:hAnsi="Times New Roman"/>
          <w:sz w:val="28"/>
          <w:szCs w:val="28"/>
          <w:lang w:val="uk-UA"/>
        </w:rPr>
        <w:t>С. Аліквоти сироватки елімінували в мікропробіркиЕрpendorf і зберігали при -25</w:t>
      </w:r>
      <w:r w:rsidRPr="00012F54">
        <w:rPr>
          <w:rFonts w:ascii="Times New Roman" w:hAnsi="Times New Roman"/>
          <w:sz w:val="28"/>
          <w:szCs w:val="28"/>
          <w:vertAlign w:val="superscript"/>
          <w:lang w:val="uk-UA"/>
        </w:rPr>
        <w:t>о</w:t>
      </w:r>
      <w:r w:rsidRPr="00012F54">
        <w:rPr>
          <w:rFonts w:ascii="Times New Roman" w:hAnsi="Times New Roman"/>
          <w:sz w:val="28"/>
          <w:szCs w:val="28"/>
          <w:lang w:val="uk-UA"/>
        </w:rPr>
        <w:t xml:space="preserve">С до проведення дослідження </w:t>
      </w:r>
      <w:r w:rsidRPr="00012F54">
        <w:rPr>
          <w:rStyle w:val="hps"/>
          <w:rFonts w:ascii="Times New Roman" w:hAnsi="Times New Roman"/>
          <w:sz w:val="28"/>
          <w:szCs w:val="28"/>
          <w:lang w:val="uk-UA"/>
        </w:rPr>
        <w:t>на приладі фірми "</w:t>
      </w:r>
      <w:r w:rsidRPr="00012F54">
        <w:rPr>
          <w:rFonts w:ascii="Times New Roman" w:hAnsi="Times New Roman"/>
          <w:sz w:val="28"/>
          <w:szCs w:val="28"/>
        </w:rPr>
        <w:t>Hipson</w:t>
      </w:r>
      <w:r w:rsidRPr="00012F54">
        <w:rPr>
          <w:rFonts w:ascii="Times New Roman" w:hAnsi="Times New Roman"/>
          <w:sz w:val="28"/>
          <w:szCs w:val="28"/>
          <w:lang w:val="uk-UA"/>
        </w:rPr>
        <w:t xml:space="preserve">" </w:t>
      </w:r>
      <w:r w:rsidRPr="00012F54">
        <w:rPr>
          <w:rStyle w:val="hps"/>
          <w:rFonts w:ascii="Times New Roman" w:hAnsi="Times New Roman"/>
          <w:sz w:val="28"/>
          <w:szCs w:val="28"/>
          <w:lang w:val="uk-UA"/>
        </w:rPr>
        <w:t>(Чехія).</w:t>
      </w:r>
    </w:p>
    <w:p w:rsidR="00012F54" w:rsidRDefault="00012F54" w:rsidP="00B065B6">
      <w:pPr>
        <w:spacing w:after="0" w:line="360" w:lineRule="auto"/>
        <w:ind w:firstLine="284"/>
        <w:jc w:val="both"/>
        <w:rPr>
          <w:rFonts w:ascii="Times New Roman" w:hAnsi="Times New Roman"/>
          <w:spacing w:val="-3"/>
          <w:sz w:val="28"/>
          <w:szCs w:val="28"/>
          <w:lang w:val="uk-UA"/>
        </w:rPr>
      </w:pPr>
      <w:r w:rsidRPr="00012F54">
        <w:rPr>
          <w:rFonts w:ascii="Times New Roman" w:hAnsi="Times New Roman"/>
          <w:spacing w:val="-3"/>
          <w:sz w:val="28"/>
          <w:szCs w:val="28"/>
          <w:lang w:val="uk-UA"/>
        </w:rPr>
        <w:lastRenderedPageBreak/>
        <w:t>Динаміку біохімічних маркерів у головному мозку щурів виявляли в кінці най</w:t>
      </w:r>
      <w:r w:rsidR="00F761BB">
        <w:rPr>
          <w:rFonts w:ascii="Times New Roman" w:hAnsi="Times New Roman"/>
          <w:spacing w:val="-3"/>
          <w:sz w:val="28"/>
          <w:szCs w:val="28"/>
          <w:lang w:val="uk-UA"/>
        </w:rPr>
        <w:t>-</w:t>
      </w:r>
      <w:r w:rsidRPr="00012F54">
        <w:rPr>
          <w:rFonts w:ascii="Times New Roman" w:hAnsi="Times New Roman"/>
          <w:spacing w:val="-3"/>
          <w:sz w:val="28"/>
          <w:szCs w:val="28"/>
          <w:lang w:val="uk-UA"/>
        </w:rPr>
        <w:t>гострішого та відновного періодів САК (4-та та 21-ша доба після моделювання па</w:t>
      </w:r>
      <w:r w:rsidR="00F761BB">
        <w:rPr>
          <w:rFonts w:ascii="Times New Roman" w:hAnsi="Times New Roman"/>
          <w:spacing w:val="-3"/>
          <w:sz w:val="28"/>
          <w:szCs w:val="28"/>
          <w:lang w:val="uk-UA"/>
        </w:rPr>
        <w:t>-</w:t>
      </w:r>
      <w:r w:rsidRPr="00012F54">
        <w:rPr>
          <w:rFonts w:ascii="Times New Roman" w:hAnsi="Times New Roman"/>
          <w:spacing w:val="-3"/>
          <w:sz w:val="28"/>
          <w:szCs w:val="28"/>
          <w:lang w:val="uk-UA"/>
        </w:rPr>
        <w:t>тології) за методиками, загальний опис та посилання на які наведено у монографії [</w:t>
      </w:r>
      <w:r w:rsidRPr="00012F54">
        <w:rPr>
          <w:rFonts w:ascii="Times New Roman" w:hAnsi="Times New Roman"/>
          <w:sz w:val="28"/>
          <w:szCs w:val="28"/>
          <w:lang w:val="uk-UA"/>
        </w:rPr>
        <w:t>16</w:t>
      </w:r>
      <w:r w:rsidRPr="00012F54">
        <w:rPr>
          <w:rFonts w:ascii="Times New Roman" w:hAnsi="Times New Roman"/>
          <w:spacing w:val="-3"/>
          <w:sz w:val="28"/>
          <w:szCs w:val="28"/>
          <w:lang w:val="uk-UA"/>
        </w:rPr>
        <w:t xml:space="preserve">]. </w:t>
      </w:r>
    </w:p>
    <w:p w:rsidR="00F761BB" w:rsidRPr="00012F54" w:rsidRDefault="00F761BB" w:rsidP="00F761BB">
      <w:pPr>
        <w:autoSpaceDE w:val="0"/>
        <w:autoSpaceDN w:val="0"/>
        <w:adjustRightInd w:val="0"/>
        <w:spacing w:after="0" w:line="360" w:lineRule="auto"/>
        <w:ind w:firstLine="284"/>
        <w:jc w:val="both"/>
        <w:rPr>
          <w:rFonts w:ascii="Times New Roman" w:hAnsi="Times New Roman"/>
          <w:sz w:val="28"/>
          <w:szCs w:val="28"/>
        </w:rPr>
      </w:pPr>
      <w:r w:rsidRPr="00012F54">
        <w:rPr>
          <w:rFonts w:ascii="Times New Roman" w:hAnsi="Times New Roman"/>
          <w:spacing w:val="-3"/>
          <w:sz w:val="28"/>
          <w:szCs w:val="28"/>
          <w:lang w:val="uk-UA"/>
        </w:rPr>
        <w:t xml:space="preserve">Вміст пірувату та лактату визначали колориметричним методом </w:t>
      </w:r>
      <w:r w:rsidRPr="00012F54">
        <w:rPr>
          <w:rFonts w:ascii="Times New Roman" w:hAnsi="Times New Roman"/>
          <w:spacing w:val="-3"/>
          <w:sz w:val="28"/>
          <w:szCs w:val="28"/>
        </w:rPr>
        <w:t>[</w:t>
      </w:r>
      <w:r w:rsidRPr="00012F54">
        <w:rPr>
          <w:rFonts w:ascii="Times New Roman" w:hAnsi="Times New Roman"/>
          <w:sz w:val="28"/>
          <w:szCs w:val="28"/>
        </w:rPr>
        <w:t>13</w:t>
      </w:r>
      <w:r w:rsidRPr="00012F54">
        <w:rPr>
          <w:rFonts w:ascii="Times New Roman" w:hAnsi="Times New Roman"/>
          <w:sz w:val="28"/>
          <w:szCs w:val="28"/>
          <w:lang w:val="uk-UA"/>
        </w:rPr>
        <w:t>5</w:t>
      </w:r>
      <w:r w:rsidRPr="00012F54">
        <w:rPr>
          <w:rFonts w:ascii="Times New Roman" w:hAnsi="Times New Roman"/>
          <w:sz w:val="28"/>
          <w:szCs w:val="28"/>
        </w:rPr>
        <w:t xml:space="preserve">]. </w:t>
      </w:r>
    </w:p>
    <w:p w:rsidR="00F761BB" w:rsidRPr="00012F54" w:rsidRDefault="00F761BB" w:rsidP="00B065B6">
      <w:pPr>
        <w:spacing w:after="0" w:line="360" w:lineRule="auto"/>
        <w:ind w:firstLine="284"/>
        <w:jc w:val="both"/>
        <w:rPr>
          <w:rFonts w:ascii="Times New Roman" w:hAnsi="Times New Roman"/>
          <w:spacing w:val="-3"/>
          <w:sz w:val="28"/>
          <w:szCs w:val="28"/>
          <w:lang w:val="uk-UA"/>
        </w:rPr>
      </w:pPr>
      <w:r w:rsidRPr="00012F54">
        <w:rPr>
          <w:rFonts w:ascii="Times New Roman" w:hAnsi="Times New Roman"/>
          <w:sz w:val="28"/>
          <w:szCs w:val="28"/>
          <w:lang w:val="uk-UA"/>
        </w:rPr>
        <w:t>Процес вільнорадикального окиснення характеризували за</w:t>
      </w:r>
      <w:r w:rsidRPr="00012F54">
        <w:rPr>
          <w:rFonts w:ascii="Times New Roman" w:hAnsi="Times New Roman"/>
          <w:spacing w:val="-3"/>
          <w:sz w:val="28"/>
          <w:szCs w:val="28"/>
          <w:lang w:val="uk-UA"/>
        </w:rPr>
        <w:t xml:space="preserve"> рівнем </w:t>
      </w:r>
      <w:r w:rsidRPr="00012F54">
        <w:rPr>
          <w:rFonts w:ascii="Times New Roman" w:hAnsi="Times New Roman"/>
          <w:sz w:val="28"/>
          <w:szCs w:val="28"/>
          <w:lang w:val="uk-UA"/>
        </w:rPr>
        <w:t>малонового діальдегіду (МДА) [</w:t>
      </w:r>
      <w:r w:rsidRPr="00012F54">
        <w:rPr>
          <w:rFonts w:ascii="Times New Roman" w:hAnsi="Times New Roman"/>
          <w:sz w:val="28"/>
          <w:szCs w:val="28"/>
        </w:rPr>
        <w:t>13</w:t>
      </w:r>
      <w:r w:rsidRPr="00012F54">
        <w:rPr>
          <w:rFonts w:ascii="Times New Roman" w:hAnsi="Times New Roman"/>
          <w:sz w:val="28"/>
          <w:szCs w:val="28"/>
          <w:lang w:val="uk-UA"/>
        </w:rPr>
        <w:t>6] та карбонільних груп протеїнів (КГП) [</w:t>
      </w:r>
      <w:r w:rsidRPr="00012F54">
        <w:rPr>
          <w:rFonts w:ascii="Times New Roman" w:hAnsi="Times New Roman"/>
          <w:sz w:val="28"/>
          <w:szCs w:val="28"/>
        </w:rPr>
        <w:t>13</w:t>
      </w:r>
      <w:r w:rsidRPr="00012F54">
        <w:rPr>
          <w:rFonts w:ascii="Times New Roman" w:hAnsi="Times New Roman"/>
          <w:sz w:val="28"/>
          <w:szCs w:val="28"/>
          <w:lang w:val="uk-UA"/>
        </w:rPr>
        <w:t>7]. Стан антиоксидантної системи верифікували за активністю супероксиддисмутази (СОД), каталази, глутатіонпероксидази (ГПР).</w:t>
      </w:r>
    </w:p>
    <w:p w:rsidR="00012F54" w:rsidRPr="00012F54" w:rsidRDefault="00012F54" w:rsidP="00B065B6">
      <w:pPr>
        <w:spacing w:after="0" w:line="360" w:lineRule="auto"/>
        <w:ind w:firstLine="284"/>
        <w:jc w:val="both"/>
        <w:rPr>
          <w:rFonts w:ascii="Times New Roman" w:hAnsi="Times New Roman"/>
          <w:sz w:val="28"/>
          <w:szCs w:val="28"/>
          <w:lang w:val="uk-UA"/>
        </w:rPr>
      </w:pPr>
      <w:r w:rsidRPr="00012F54">
        <w:rPr>
          <w:rFonts w:ascii="Times New Roman" w:hAnsi="Times New Roman"/>
          <w:spacing w:val="-3"/>
          <w:sz w:val="28"/>
          <w:szCs w:val="28"/>
          <w:lang w:val="uk-UA"/>
        </w:rPr>
        <w:t xml:space="preserve">Так, стан енергетичного та вуглеводного обмінів оцінювали за вмістом у </w:t>
      </w:r>
      <w:r w:rsidRPr="00012F54">
        <w:rPr>
          <w:rFonts w:ascii="Times New Roman" w:hAnsi="Times New Roman"/>
          <w:sz w:val="28"/>
          <w:szCs w:val="28"/>
          <w:lang w:val="uk-UA"/>
        </w:rPr>
        <w:t xml:space="preserve">головному </w:t>
      </w:r>
      <w:r w:rsidRPr="00012F54">
        <w:rPr>
          <w:rFonts w:ascii="Times New Roman" w:hAnsi="Times New Roman"/>
          <w:spacing w:val="-3"/>
          <w:sz w:val="28"/>
          <w:szCs w:val="28"/>
          <w:lang w:val="uk-UA"/>
        </w:rPr>
        <w:t>мозку відповідно аденозинтрифосфорно</w:t>
      </w:r>
      <w:r w:rsidR="00506E62">
        <w:rPr>
          <w:rFonts w:ascii="Times New Roman" w:hAnsi="Times New Roman"/>
          <w:spacing w:val="-3"/>
          <w:sz w:val="28"/>
          <w:szCs w:val="28"/>
          <w:lang w:val="uk-UA"/>
        </w:rPr>
        <w:t>ї (АТФ), аденозиндифосфорної (АДФ) кислот та АМ</w:t>
      </w:r>
      <w:r w:rsidRPr="00012F54">
        <w:rPr>
          <w:rFonts w:ascii="Times New Roman" w:hAnsi="Times New Roman"/>
          <w:spacing w:val="-3"/>
          <w:sz w:val="28"/>
          <w:szCs w:val="28"/>
          <w:lang w:val="uk-UA"/>
        </w:rPr>
        <w:t xml:space="preserve">Ф лактату і пірувату. </w:t>
      </w:r>
      <w:r w:rsidRPr="00012F54">
        <w:rPr>
          <w:rFonts w:ascii="Times New Roman" w:hAnsi="Times New Roman"/>
          <w:sz w:val="28"/>
          <w:szCs w:val="28"/>
          <w:lang w:val="uk-UA"/>
        </w:rPr>
        <w:t>Вміст аденілових нуклеотидів визначали в безбілковому трихлороцтовому екстракті мозку 1:10 (10% розчин трихлороцтової кислоти) хроматографічним методом [134, 135]. Енергетичний заряд розраховували за відомою формулою:</w:t>
      </w:r>
    </w:p>
    <w:p w:rsidR="00012F54" w:rsidRPr="00763508" w:rsidRDefault="00012F54" w:rsidP="00B065B6">
      <w:pPr>
        <w:spacing w:after="0" w:line="360" w:lineRule="auto"/>
        <w:ind w:firstLine="284"/>
        <w:jc w:val="both"/>
        <w:rPr>
          <w:rFonts w:ascii="Times New Roman" w:hAnsi="Times New Roman"/>
          <w:sz w:val="28"/>
          <w:szCs w:val="28"/>
          <w:lang w:val="uk-UA"/>
        </w:rPr>
      </w:pPr>
    </w:p>
    <w:tbl>
      <w:tblPr>
        <w:tblW w:w="8648" w:type="dxa"/>
        <w:jc w:val="center"/>
        <w:tblLook w:val="04A0"/>
      </w:tblPr>
      <w:tblGrid>
        <w:gridCol w:w="3537"/>
        <w:gridCol w:w="2841"/>
        <w:gridCol w:w="1135"/>
        <w:gridCol w:w="1135"/>
      </w:tblGrid>
      <w:tr w:rsidR="00012F54" w:rsidRPr="00012F54" w:rsidTr="00012F54">
        <w:trPr>
          <w:jc w:val="center"/>
        </w:trPr>
        <w:tc>
          <w:tcPr>
            <w:tcW w:w="3537" w:type="dxa"/>
            <w:vMerge w:val="restart"/>
            <w:tcBorders>
              <w:top w:val="nil"/>
              <w:left w:val="nil"/>
              <w:bottom w:val="nil"/>
              <w:right w:val="nil"/>
            </w:tcBorders>
            <w:vAlign w:val="center"/>
          </w:tcPr>
          <w:p w:rsidR="00012F54" w:rsidRPr="00012F54" w:rsidRDefault="00012F54" w:rsidP="00B065B6">
            <w:pPr>
              <w:spacing w:after="0" w:line="360" w:lineRule="auto"/>
              <w:ind w:firstLine="284"/>
              <w:jc w:val="right"/>
              <w:rPr>
                <w:rFonts w:ascii="Times New Roman" w:hAnsi="Times New Roman"/>
                <w:sz w:val="28"/>
                <w:szCs w:val="28"/>
                <w:lang w:val="uk-UA"/>
              </w:rPr>
            </w:pPr>
            <w:r w:rsidRPr="00012F54">
              <w:rPr>
                <w:rFonts w:ascii="Times New Roman" w:hAnsi="Times New Roman"/>
                <w:sz w:val="28"/>
                <w:szCs w:val="28"/>
                <w:lang w:val="uk-UA"/>
              </w:rPr>
              <w:t>Енергетичний заряд=</w:t>
            </w:r>
          </w:p>
        </w:tc>
        <w:tc>
          <w:tcPr>
            <w:tcW w:w="2841" w:type="dxa"/>
            <w:tcBorders>
              <w:top w:val="nil"/>
              <w:left w:val="nil"/>
              <w:right w:val="nil"/>
            </w:tcBorders>
          </w:tcPr>
          <w:p w:rsidR="00012F54" w:rsidRPr="00012F54" w:rsidRDefault="00012F54" w:rsidP="00B065B6">
            <w:pPr>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2АТФ+АДФ</w:t>
            </w:r>
          </w:p>
        </w:tc>
        <w:tc>
          <w:tcPr>
            <w:tcW w:w="1135" w:type="dxa"/>
            <w:vMerge w:val="restart"/>
            <w:tcBorders>
              <w:top w:val="nil"/>
              <w:left w:val="nil"/>
              <w:right w:val="nil"/>
            </w:tcBorders>
            <w:vAlign w:val="center"/>
          </w:tcPr>
          <w:p w:rsidR="00012F54" w:rsidRPr="00012F54" w:rsidRDefault="00012F54" w:rsidP="00B065B6">
            <w:pPr>
              <w:spacing w:after="0" w:line="360" w:lineRule="auto"/>
              <w:ind w:firstLine="284"/>
              <w:rPr>
                <w:rFonts w:ascii="Times New Roman" w:hAnsi="Times New Roman"/>
                <w:sz w:val="28"/>
                <w:szCs w:val="28"/>
                <w:lang w:val="uk-UA"/>
              </w:rPr>
            </w:pPr>
            <w:r w:rsidRPr="00012F54">
              <w:rPr>
                <w:rFonts w:ascii="Times New Roman" w:hAnsi="Times New Roman"/>
                <w:sz w:val="28"/>
                <w:szCs w:val="28"/>
                <w:lang w:val="uk-UA"/>
              </w:rPr>
              <w:t>,</w:t>
            </w:r>
          </w:p>
        </w:tc>
        <w:tc>
          <w:tcPr>
            <w:tcW w:w="1135" w:type="dxa"/>
            <w:vMerge w:val="restart"/>
            <w:tcBorders>
              <w:top w:val="nil"/>
              <w:left w:val="nil"/>
              <w:right w:val="nil"/>
            </w:tcBorders>
            <w:vAlign w:val="center"/>
          </w:tcPr>
          <w:p w:rsidR="00012F54" w:rsidRPr="00012F54" w:rsidRDefault="00012F54" w:rsidP="00B065B6">
            <w:pPr>
              <w:spacing w:after="0" w:line="360" w:lineRule="auto"/>
              <w:ind w:firstLine="284"/>
              <w:jc w:val="right"/>
              <w:rPr>
                <w:rFonts w:ascii="Times New Roman" w:hAnsi="Times New Roman"/>
                <w:sz w:val="28"/>
                <w:szCs w:val="28"/>
                <w:lang w:val="uk-UA"/>
              </w:rPr>
            </w:pPr>
            <w:r w:rsidRPr="00012F54">
              <w:rPr>
                <w:rFonts w:ascii="Times New Roman" w:hAnsi="Times New Roman"/>
                <w:sz w:val="28"/>
                <w:szCs w:val="28"/>
                <w:lang w:val="uk-UA"/>
              </w:rPr>
              <w:t>(2.1)</w:t>
            </w:r>
          </w:p>
        </w:tc>
      </w:tr>
      <w:tr w:rsidR="00012F54" w:rsidRPr="00012F54" w:rsidTr="00012F54">
        <w:trPr>
          <w:jc w:val="center"/>
        </w:trPr>
        <w:tc>
          <w:tcPr>
            <w:tcW w:w="3537" w:type="dxa"/>
            <w:vMerge/>
            <w:tcBorders>
              <w:top w:val="nil"/>
              <w:left w:val="nil"/>
              <w:bottom w:val="nil"/>
              <w:right w:val="nil"/>
            </w:tcBorders>
          </w:tcPr>
          <w:p w:rsidR="00012F54" w:rsidRPr="00012F54" w:rsidRDefault="00012F54" w:rsidP="00B065B6">
            <w:pPr>
              <w:spacing w:after="0" w:line="360" w:lineRule="auto"/>
              <w:ind w:firstLine="284"/>
              <w:jc w:val="both"/>
              <w:rPr>
                <w:rFonts w:ascii="Times New Roman" w:hAnsi="Times New Roman"/>
                <w:sz w:val="28"/>
                <w:szCs w:val="28"/>
                <w:lang w:val="uk-UA"/>
              </w:rPr>
            </w:pPr>
          </w:p>
        </w:tc>
        <w:tc>
          <w:tcPr>
            <w:tcW w:w="2841" w:type="dxa"/>
            <w:tcBorders>
              <w:left w:val="nil"/>
              <w:bottom w:val="nil"/>
              <w:right w:val="nil"/>
            </w:tcBorders>
          </w:tcPr>
          <w:p w:rsidR="00012F54" w:rsidRPr="00012F54" w:rsidRDefault="00012F54" w:rsidP="00B065B6">
            <w:pPr>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2 (АТФ+АДФ+АМФ)</w:t>
            </w:r>
          </w:p>
        </w:tc>
        <w:tc>
          <w:tcPr>
            <w:tcW w:w="1135" w:type="dxa"/>
            <w:vMerge/>
            <w:tcBorders>
              <w:left w:val="nil"/>
              <w:bottom w:val="nil"/>
              <w:right w:val="nil"/>
            </w:tcBorders>
          </w:tcPr>
          <w:p w:rsidR="00012F54" w:rsidRPr="00012F54" w:rsidRDefault="00012F54" w:rsidP="00B065B6">
            <w:pPr>
              <w:spacing w:after="0" w:line="360" w:lineRule="auto"/>
              <w:ind w:firstLine="284"/>
              <w:jc w:val="center"/>
              <w:rPr>
                <w:rFonts w:ascii="Times New Roman" w:hAnsi="Times New Roman"/>
                <w:sz w:val="28"/>
                <w:szCs w:val="28"/>
                <w:lang w:val="uk-UA"/>
              </w:rPr>
            </w:pPr>
          </w:p>
        </w:tc>
        <w:tc>
          <w:tcPr>
            <w:tcW w:w="1135" w:type="dxa"/>
            <w:vMerge/>
            <w:tcBorders>
              <w:left w:val="nil"/>
              <w:bottom w:val="nil"/>
              <w:right w:val="nil"/>
            </w:tcBorders>
            <w:vAlign w:val="center"/>
          </w:tcPr>
          <w:p w:rsidR="00012F54" w:rsidRPr="00012F54" w:rsidRDefault="00012F54" w:rsidP="00B065B6">
            <w:pPr>
              <w:spacing w:after="0" w:line="360" w:lineRule="auto"/>
              <w:ind w:firstLine="284"/>
              <w:jc w:val="center"/>
              <w:rPr>
                <w:rFonts w:ascii="Times New Roman" w:hAnsi="Times New Roman"/>
                <w:sz w:val="28"/>
                <w:szCs w:val="28"/>
                <w:lang w:val="uk-UA"/>
              </w:rPr>
            </w:pPr>
          </w:p>
        </w:tc>
      </w:tr>
    </w:tbl>
    <w:p w:rsidR="00012F54" w:rsidRPr="000615DD" w:rsidRDefault="00012F54" w:rsidP="00B065B6">
      <w:pPr>
        <w:spacing w:after="0" w:line="360" w:lineRule="auto"/>
        <w:ind w:firstLine="284"/>
        <w:jc w:val="both"/>
        <w:rPr>
          <w:rFonts w:ascii="Times New Roman" w:hAnsi="Times New Roman"/>
          <w:sz w:val="16"/>
          <w:szCs w:val="16"/>
          <w:lang w:val="uk-UA"/>
        </w:rPr>
      </w:pPr>
    </w:p>
    <w:p w:rsidR="00012F54" w:rsidRPr="00012F54" w:rsidRDefault="00012F54" w:rsidP="00B065B6">
      <w:pPr>
        <w:spacing w:after="0" w:line="360" w:lineRule="auto"/>
        <w:ind w:firstLine="284"/>
        <w:jc w:val="both"/>
        <w:rPr>
          <w:rFonts w:ascii="Times New Roman" w:hAnsi="Times New Roman"/>
          <w:spacing w:val="-3"/>
          <w:sz w:val="28"/>
          <w:szCs w:val="28"/>
          <w:lang w:val="uk-UA"/>
        </w:rPr>
      </w:pPr>
      <w:r w:rsidRPr="00012F54">
        <w:rPr>
          <w:rFonts w:ascii="Times New Roman" w:hAnsi="Times New Roman"/>
          <w:sz w:val="28"/>
          <w:szCs w:val="28"/>
          <w:lang w:val="uk-UA"/>
        </w:rPr>
        <w:t xml:space="preserve">де: АТФ – </w:t>
      </w:r>
      <w:r w:rsidRPr="00012F54">
        <w:rPr>
          <w:rFonts w:ascii="Times New Roman" w:hAnsi="Times New Roman"/>
          <w:spacing w:val="-3"/>
          <w:sz w:val="28"/>
          <w:szCs w:val="28"/>
          <w:lang w:val="uk-UA"/>
        </w:rPr>
        <w:t>аденозинтрифосфорна кислота;</w:t>
      </w:r>
    </w:p>
    <w:p w:rsidR="00012F54" w:rsidRPr="00012F54" w:rsidRDefault="00012F54" w:rsidP="00B065B6">
      <w:pPr>
        <w:spacing w:after="0" w:line="360" w:lineRule="auto"/>
        <w:ind w:firstLine="284"/>
        <w:jc w:val="both"/>
        <w:rPr>
          <w:rFonts w:ascii="Times New Roman" w:hAnsi="Times New Roman"/>
          <w:spacing w:val="-3"/>
          <w:sz w:val="28"/>
          <w:szCs w:val="28"/>
          <w:lang w:val="uk-UA"/>
        </w:rPr>
      </w:pPr>
      <w:r w:rsidRPr="00012F54">
        <w:rPr>
          <w:rFonts w:ascii="Times New Roman" w:hAnsi="Times New Roman"/>
          <w:spacing w:val="-3"/>
          <w:sz w:val="28"/>
          <w:szCs w:val="28"/>
          <w:lang w:val="uk-UA"/>
        </w:rPr>
        <w:tab/>
      </w:r>
      <w:r w:rsidRPr="00012F54">
        <w:rPr>
          <w:rFonts w:ascii="Times New Roman" w:hAnsi="Times New Roman"/>
          <w:sz w:val="28"/>
          <w:szCs w:val="28"/>
          <w:lang w:val="uk-UA"/>
        </w:rPr>
        <w:t xml:space="preserve">АДФ – </w:t>
      </w:r>
      <w:r w:rsidRPr="00012F54">
        <w:rPr>
          <w:rFonts w:ascii="Times New Roman" w:hAnsi="Times New Roman"/>
          <w:spacing w:val="-3"/>
          <w:sz w:val="28"/>
          <w:szCs w:val="28"/>
          <w:lang w:val="uk-UA"/>
        </w:rPr>
        <w:t>аденозиндифосфорна кислота;</w:t>
      </w:r>
    </w:p>
    <w:p w:rsidR="00012F54" w:rsidRPr="00012F54" w:rsidRDefault="00012F54" w:rsidP="00B065B6">
      <w:pPr>
        <w:spacing w:after="0" w:line="360" w:lineRule="auto"/>
        <w:ind w:firstLine="284"/>
        <w:jc w:val="both"/>
        <w:rPr>
          <w:rFonts w:ascii="Times New Roman" w:hAnsi="Times New Roman"/>
          <w:sz w:val="28"/>
          <w:szCs w:val="28"/>
          <w:lang w:val="uk-UA"/>
        </w:rPr>
      </w:pPr>
      <w:r w:rsidRPr="00012F54">
        <w:rPr>
          <w:rFonts w:ascii="Times New Roman" w:hAnsi="Times New Roman"/>
          <w:spacing w:val="-3"/>
          <w:sz w:val="28"/>
          <w:szCs w:val="28"/>
          <w:lang w:val="uk-UA"/>
        </w:rPr>
        <w:tab/>
      </w:r>
      <w:r w:rsidRPr="00012F54">
        <w:rPr>
          <w:rFonts w:ascii="Times New Roman" w:hAnsi="Times New Roman"/>
          <w:sz w:val="28"/>
          <w:szCs w:val="28"/>
          <w:lang w:val="uk-UA"/>
        </w:rPr>
        <w:t xml:space="preserve">АМФ – </w:t>
      </w:r>
      <w:r w:rsidRPr="00012F54">
        <w:rPr>
          <w:rFonts w:ascii="Times New Roman" w:hAnsi="Times New Roman"/>
          <w:spacing w:val="-3"/>
          <w:sz w:val="28"/>
          <w:szCs w:val="28"/>
          <w:lang w:val="uk-UA"/>
        </w:rPr>
        <w:t>аденозинмонофосфорна кислота</w:t>
      </w:r>
    </w:p>
    <w:p w:rsidR="00012F54" w:rsidRPr="00763508" w:rsidRDefault="00012F54" w:rsidP="00B065B6">
      <w:pPr>
        <w:autoSpaceDE w:val="0"/>
        <w:autoSpaceDN w:val="0"/>
        <w:adjustRightInd w:val="0"/>
        <w:spacing w:after="0" w:line="360" w:lineRule="auto"/>
        <w:ind w:firstLine="284"/>
        <w:jc w:val="both"/>
        <w:rPr>
          <w:rFonts w:ascii="Times New Roman" w:hAnsi="Times New Roman"/>
          <w:spacing w:val="-3"/>
          <w:sz w:val="28"/>
          <w:szCs w:val="28"/>
          <w:lang w:val="uk-UA"/>
        </w:rPr>
      </w:pPr>
    </w:p>
    <w:p w:rsidR="00012F54" w:rsidRPr="00012F54" w:rsidRDefault="00012F54" w:rsidP="00B065B6">
      <w:pPr>
        <w:autoSpaceDE w:val="0"/>
        <w:autoSpaceDN w:val="0"/>
        <w:adjustRightInd w:val="0"/>
        <w:spacing w:after="0" w:line="360" w:lineRule="auto"/>
        <w:ind w:firstLine="284"/>
        <w:jc w:val="both"/>
        <w:rPr>
          <w:rFonts w:ascii="Times New Roman" w:hAnsi="Times New Roman"/>
          <w:sz w:val="28"/>
          <w:szCs w:val="28"/>
          <w:lang w:val="uk-UA" w:eastAsia="uk-UA"/>
        </w:rPr>
      </w:pPr>
      <w:r w:rsidRPr="00012F54">
        <w:rPr>
          <w:rFonts w:ascii="Times New Roman" w:hAnsi="Times New Roman"/>
          <w:noProof/>
          <w:sz w:val="28"/>
          <w:szCs w:val="28"/>
          <w:lang w:val="uk-UA"/>
        </w:rPr>
        <w:t xml:space="preserve">Активність супероксиддисмутази (СОД) оцінювали за відсотком гальмування окиснення кверцетину </w:t>
      </w:r>
      <w:r w:rsidRPr="00012F54">
        <w:rPr>
          <w:rFonts w:ascii="Times New Roman" w:hAnsi="Times New Roman"/>
          <w:sz w:val="28"/>
          <w:szCs w:val="28"/>
          <w:lang w:val="uk-UA"/>
        </w:rPr>
        <w:t>[138], а каталази – за швидкістю деградації гідроген пероксиду [139]. Активність глутатіонпероксидази визначали спектрофотометричним методом за накопиченням окисненого глутатіону</w:t>
      </w:r>
      <w:r w:rsidRPr="00012F54">
        <w:rPr>
          <w:rFonts w:ascii="Times New Roman" w:hAnsi="Times New Roman"/>
          <w:bCs/>
          <w:noProof/>
          <w:sz w:val="28"/>
          <w:szCs w:val="28"/>
          <w:lang w:val="uk-UA"/>
        </w:rPr>
        <w:t>[</w:t>
      </w:r>
      <w:r w:rsidRPr="00012F54">
        <w:rPr>
          <w:rFonts w:ascii="Times New Roman" w:hAnsi="Times New Roman"/>
          <w:iCs/>
          <w:sz w:val="28"/>
          <w:szCs w:val="28"/>
          <w:lang w:eastAsia="uk-UA"/>
        </w:rPr>
        <w:t>14</w:t>
      </w:r>
      <w:r w:rsidRPr="00012F54">
        <w:rPr>
          <w:rFonts w:ascii="Times New Roman" w:hAnsi="Times New Roman"/>
          <w:iCs/>
          <w:sz w:val="28"/>
          <w:szCs w:val="28"/>
          <w:lang w:val="uk-UA" w:eastAsia="uk-UA"/>
        </w:rPr>
        <w:t>0</w:t>
      </w:r>
      <w:r w:rsidRPr="00012F54">
        <w:rPr>
          <w:rFonts w:ascii="Times New Roman" w:hAnsi="Times New Roman"/>
          <w:bCs/>
          <w:sz w:val="28"/>
          <w:szCs w:val="28"/>
          <w:lang w:val="uk-UA"/>
        </w:rPr>
        <w:t>]</w:t>
      </w:r>
      <w:r w:rsidRPr="00012F54">
        <w:rPr>
          <w:rFonts w:ascii="Times New Roman" w:hAnsi="Times New Roman"/>
          <w:bCs/>
          <w:noProof/>
          <w:sz w:val="28"/>
          <w:szCs w:val="28"/>
          <w:lang w:val="uk-UA"/>
        </w:rPr>
        <w:t>.</w:t>
      </w:r>
    </w:p>
    <w:p w:rsidR="00012F54" w:rsidRPr="00012F54" w:rsidRDefault="00012F54" w:rsidP="00B065B6">
      <w:pPr>
        <w:pStyle w:val="a6"/>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 xml:space="preserve">Рівень L-аргініну визначали за реакцією Сакагучі [135]. </w:t>
      </w:r>
    </w:p>
    <w:p w:rsidR="00012F54" w:rsidRPr="00012F54" w:rsidRDefault="00012F54" w:rsidP="00B065B6">
      <w:pPr>
        <w:pStyle w:val="a6"/>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Баланс у системі монооксиду азоту (</w:t>
      </w:r>
      <w:r w:rsidRPr="00012F54">
        <w:rPr>
          <w:rFonts w:ascii="Times New Roman" w:hAnsi="Times New Roman"/>
          <w:bCs/>
          <w:noProof/>
          <w:sz w:val="28"/>
          <w:szCs w:val="28"/>
          <w:lang w:val="uk-UA"/>
        </w:rPr>
        <w:t>NO</w:t>
      </w:r>
      <w:r w:rsidRPr="00012F54">
        <w:rPr>
          <w:rFonts w:ascii="Times New Roman" w:hAnsi="Times New Roman"/>
          <w:sz w:val="28"/>
          <w:szCs w:val="28"/>
          <w:lang w:val="uk-UA"/>
        </w:rPr>
        <w:t xml:space="preserve"> ) описували шляхом визначення </w:t>
      </w:r>
      <w:r w:rsidRPr="00012F54">
        <w:rPr>
          <w:rFonts w:ascii="Times New Roman" w:hAnsi="Times New Roman"/>
          <w:bCs/>
          <w:noProof/>
          <w:sz w:val="28"/>
          <w:szCs w:val="28"/>
          <w:lang w:val="uk-UA"/>
        </w:rPr>
        <w:t>сумарної NO-синтазної активності [</w:t>
      </w:r>
      <w:r w:rsidRPr="00012F54">
        <w:rPr>
          <w:rFonts w:ascii="Times New Roman" w:hAnsi="Times New Roman"/>
          <w:sz w:val="28"/>
          <w:szCs w:val="28"/>
          <w:lang w:val="uk-UA"/>
        </w:rPr>
        <w:t xml:space="preserve">141]. </w:t>
      </w:r>
    </w:p>
    <w:p w:rsidR="00012F54" w:rsidRPr="00012F54" w:rsidRDefault="00012F54" w:rsidP="00B065B6">
      <w:pPr>
        <w:pStyle w:val="a6"/>
        <w:spacing w:after="0" w:line="360" w:lineRule="auto"/>
        <w:ind w:left="0" w:firstLine="284"/>
        <w:jc w:val="both"/>
        <w:rPr>
          <w:rFonts w:ascii="Times New Roman" w:hAnsi="Times New Roman"/>
          <w:sz w:val="28"/>
          <w:szCs w:val="28"/>
          <w:lang w:val="uk-UA"/>
        </w:rPr>
      </w:pPr>
      <w:r w:rsidRPr="00012F54">
        <w:rPr>
          <w:rFonts w:ascii="Times New Roman" w:hAnsi="Times New Roman"/>
          <w:iCs/>
          <w:sz w:val="28"/>
          <w:szCs w:val="28"/>
          <w:lang w:val="uk-UA"/>
        </w:rPr>
        <w:t xml:space="preserve">Вміст глутамату визначали </w:t>
      </w:r>
      <w:r w:rsidRPr="00012F54">
        <w:rPr>
          <w:rFonts w:ascii="Times New Roman" w:hAnsi="Times New Roman"/>
          <w:sz w:val="28"/>
          <w:szCs w:val="28"/>
          <w:lang w:val="uk-UA"/>
        </w:rPr>
        <w:t>методом тонкошарової хроматографії [</w:t>
      </w:r>
      <w:r w:rsidRPr="00012F54">
        <w:rPr>
          <w:rFonts w:ascii="Times New Roman" w:hAnsi="Times New Roman"/>
          <w:sz w:val="28"/>
          <w:szCs w:val="28"/>
        </w:rPr>
        <w:t>14</w:t>
      </w:r>
      <w:r w:rsidRPr="00012F54">
        <w:rPr>
          <w:rFonts w:ascii="Times New Roman" w:hAnsi="Times New Roman"/>
          <w:sz w:val="28"/>
          <w:szCs w:val="28"/>
          <w:lang w:val="uk-UA"/>
        </w:rPr>
        <w:t xml:space="preserve">2]. </w:t>
      </w:r>
    </w:p>
    <w:p w:rsidR="00012F54" w:rsidRPr="00012F54" w:rsidRDefault="00012F54" w:rsidP="00B065B6">
      <w:pPr>
        <w:pStyle w:val="a6"/>
        <w:spacing w:after="0" w:line="360" w:lineRule="auto"/>
        <w:ind w:left="0" w:firstLine="284"/>
        <w:jc w:val="both"/>
        <w:rPr>
          <w:rFonts w:ascii="Times New Roman" w:hAnsi="Times New Roman"/>
          <w:sz w:val="28"/>
          <w:szCs w:val="28"/>
        </w:rPr>
      </w:pPr>
      <w:r w:rsidRPr="00012F54">
        <w:rPr>
          <w:rFonts w:ascii="Times New Roman" w:hAnsi="Times New Roman"/>
          <w:sz w:val="28"/>
          <w:szCs w:val="28"/>
        </w:rPr>
        <w:lastRenderedPageBreak/>
        <w:t>Вміст</w:t>
      </w:r>
      <w:r w:rsidRPr="00012F54">
        <w:rPr>
          <w:rFonts w:ascii="Times New Roman" w:hAnsi="Times New Roman"/>
          <w:noProof/>
          <w:sz w:val="28"/>
          <w:szCs w:val="28"/>
        </w:rPr>
        <w:t xml:space="preserve">загального білка визначали </w:t>
      </w:r>
      <w:r w:rsidRPr="00012F54">
        <w:rPr>
          <w:rFonts w:ascii="Times New Roman" w:hAnsi="Times New Roman"/>
          <w:sz w:val="28"/>
          <w:szCs w:val="28"/>
        </w:rPr>
        <w:t>мікробіуретовим методом з реактивом Бенедикта [14</w:t>
      </w:r>
      <w:r w:rsidRPr="00012F54">
        <w:rPr>
          <w:rFonts w:ascii="Times New Roman" w:hAnsi="Times New Roman"/>
          <w:sz w:val="28"/>
          <w:szCs w:val="28"/>
          <w:lang w:val="uk-UA"/>
        </w:rPr>
        <w:t>3</w:t>
      </w:r>
      <w:r w:rsidRPr="00012F54">
        <w:rPr>
          <w:rFonts w:ascii="Times New Roman" w:hAnsi="Times New Roman"/>
          <w:sz w:val="28"/>
          <w:szCs w:val="28"/>
        </w:rPr>
        <w:t>].</w:t>
      </w:r>
    </w:p>
    <w:p w:rsidR="00012F54" w:rsidRPr="00012F54" w:rsidRDefault="00012F54" w:rsidP="00B065B6">
      <w:pPr>
        <w:pStyle w:val="13"/>
        <w:widowControl w:val="0"/>
        <w:spacing w:line="360" w:lineRule="auto"/>
        <w:ind w:firstLine="284"/>
        <w:rPr>
          <w:szCs w:val="28"/>
        </w:rPr>
      </w:pPr>
      <w:r w:rsidRPr="00012F54">
        <w:rPr>
          <w:szCs w:val="28"/>
        </w:rPr>
        <w:t>Для протоково-цитометричного аналізу на 4-ту добу (96 год) після відтворення ВМК мозок вилучався із черепної коробки, виконувалась двобічна лобектомія і для подальшого дослідження, трепаном із площею поперекового зрізу 1500 мкм елімінувалась кора. За затвердженим лабораторним протоколом, із забраного біоматеріалу при додаванні оригінальних реагентів СуStain DNA фірми Partec, (Німеччина) готували суспензію для подальшого протоково-цитометричного дослідження на однойменному цитометріPartec, (Німеччина). В автоматичному режимі виявляли два показника клітинного циклу, які виводились та виділялись на ДНК-гістограмах, а саме: фаза S – це відсоткове співвідношення фази синтезу ДНК до всіх клітин клітинного циклу (вміст ДНК &gt; 2 c та &lt; 4 c) та період SUB-G</w:t>
      </w:r>
      <w:r w:rsidRPr="00012F54">
        <w:rPr>
          <w:szCs w:val="28"/>
          <w:vertAlign w:val="subscript"/>
        </w:rPr>
        <w:t>0</w:t>
      </w:r>
      <w:r w:rsidRPr="00012F54">
        <w:rPr>
          <w:szCs w:val="28"/>
        </w:rPr>
        <w:t>G</w:t>
      </w:r>
      <w:r w:rsidRPr="00012F54">
        <w:rPr>
          <w:szCs w:val="28"/>
          <w:vertAlign w:val="subscript"/>
        </w:rPr>
        <w:t xml:space="preserve">1 </w:t>
      </w:r>
      <w:r w:rsidRPr="00012F54">
        <w:rPr>
          <w:szCs w:val="28"/>
        </w:rPr>
        <w:t>– це фрагментація ядерної ДНК (власно маркер апоптозу), що інтерпретується шляхом виділення ділянки RN</w:t>
      </w:r>
      <w:r w:rsidRPr="00012F54">
        <w:rPr>
          <w:szCs w:val="28"/>
          <w:vertAlign w:val="subscript"/>
        </w:rPr>
        <w:t>1</w:t>
      </w:r>
      <w:r w:rsidRPr="00012F54">
        <w:rPr>
          <w:szCs w:val="28"/>
        </w:rPr>
        <w:t xml:space="preserve"> на ДНК-гістограмах перед піком G</w:t>
      </w:r>
      <w:r w:rsidRPr="00012F54">
        <w:rPr>
          <w:szCs w:val="28"/>
          <w:vertAlign w:val="subscript"/>
        </w:rPr>
        <w:t>0</w:t>
      </w:r>
      <w:r w:rsidRPr="00012F54">
        <w:rPr>
          <w:szCs w:val="28"/>
        </w:rPr>
        <w:t>G</w:t>
      </w:r>
      <w:r w:rsidRPr="00012F54">
        <w:rPr>
          <w:szCs w:val="28"/>
          <w:vertAlign w:val="subscript"/>
        </w:rPr>
        <w:t>1</w:t>
      </w:r>
      <w:r w:rsidRPr="00012F54">
        <w:rPr>
          <w:szCs w:val="28"/>
        </w:rPr>
        <w:t xml:space="preserve"> і вказує на ядра клітин із вмістом ДНК &lt; 2 с. Визначення ділянки S на ДНК-гістограмах, свідчить про проліферативну активність (нейрогліальну проліферацію), а розрахунок відсотка ядер із фрагментованою ДНК засвідчує апоптоз [144].</w:t>
      </w:r>
    </w:p>
    <w:p w:rsidR="00012F54" w:rsidRPr="00012F54" w:rsidRDefault="00012F54" w:rsidP="00B065B6">
      <w:pPr>
        <w:pStyle w:val="a5"/>
        <w:widowControl w:val="0"/>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При підготовці біоматеріалу (лобні частки мозку та гіпокамп) для світлової мікроскопії їх екстрадували в тотожний термін та за аналогічною методикою, як і для протоковоїцитометрії, занурювали у 10 % нейтральний формалін (10-кратний об’єм відносно параметрів тканини) терміном не менш ніж на 7 діб та після стандартної гістологічної проводки заливали у парафін. [</w:t>
      </w:r>
      <w:r w:rsidRPr="00012F54">
        <w:rPr>
          <w:rFonts w:ascii="Times New Roman" w:hAnsi="Times New Roman"/>
          <w:bCs/>
          <w:iCs/>
          <w:sz w:val="28"/>
          <w:szCs w:val="28"/>
        </w:rPr>
        <w:t>14</w:t>
      </w:r>
      <w:r w:rsidRPr="00012F54">
        <w:rPr>
          <w:rFonts w:ascii="Times New Roman" w:hAnsi="Times New Roman"/>
          <w:bCs/>
          <w:iCs/>
          <w:sz w:val="28"/>
          <w:szCs w:val="28"/>
          <w:lang w:val="uk-UA"/>
        </w:rPr>
        <w:t>5</w:t>
      </w:r>
      <w:r w:rsidRPr="00012F54">
        <w:rPr>
          <w:rFonts w:ascii="Times New Roman" w:hAnsi="Times New Roman"/>
          <w:bCs/>
          <w:sz w:val="28"/>
          <w:szCs w:val="28"/>
          <w:lang w:val="uk-UA"/>
        </w:rPr>
        <w:t>].</w:t>
      </w:r>
      <w:r w:rsidRPr="00012F54">
        <w:rPr>
          <w:rFonts w:ascii="Times New Roman" w:hAnsi="Times New Roman"/>
          <w:sz w:val="28"/>
          <w:szCs w:val="28"/>
          <w:lang w:val="uk-UA"/>
        </w:rPr>
        <w:t xml:space="preserve"> На ротаційному мікротомі виготовляли та 5-мікронні поперекові зрізи, які депарафінували за стандартною методикою та забарвлювали за гематоксилін-еозином. Зображення отримували на мікроскопі Axioskop (Zeiss, Германія) та за допомогою 8-бітної CCD-камери COHU-4922 (COHU Inc., США) вводили в комп’ютерну систему аналізу зображень VIDAS-386 (KontronElektronik, Германія).</w:t>
      </w:r>
    </w:p>
    <w:p w:rsidR="00012F54" w:rsidRPr="005879AB" w:rsidRDefault="00012F54" w:rsidP="00B065B6">
      <w:pPr>
        <w:pStyle w:val="2"/>
        <w:spacing w:line="360" w:lineRule="auto"/>
        <w:ind w:firstLine="284"/>
        <w:rPr>
          <w:rFonts w:ascii="Times New Roman" w:eastAsia="Times New Roman" w:hAnsi="Times New Roman" w:cs="Times New Roman"/>
          <w:color w:val="auto"/>
          <w:sz w:val="28"/>
          <w:szCs w:val="28"/>
          <w:lang w:val="uk-UA"/>
        </w:rPr>
      </w:pPr>
      <w:r w:rsidRPr="005879AB">
        <w:rPr>
          <w:rFonts w:ascii="Times New Roman" w:eastAsia="Times New Roman" w:hAnsi="Times New Roman" w:cs="Times New Roman"/>
          <w:color w:val="auto"/>
          <w:sz w:val="28"/>
          <w:szCs w:val="28"/>
          <w:lang w:val="uk-UA"/>
        </w:rPr>
        <w:t>2.5 Методи статистичного аналізу</w:t>
      </w:r>
    </w:p>
    <w:p w:rsidR="00012F54" w:rsidRPr="00012F54" w:rsidRDefault="00012F54" w:rsidP="00B065B6">
      <w:pPr>
        <w:widowControl w:val="0"/>
        <w:tabs>
          <w:tab w:val="left" w:pos="36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Отримані в ході наукового дослідження цифрові дані аналізували за допомогою статистичної програмного забезпечення StatPlus 2009. Результати наведено як М±m. Нормальність розподілу визначали за критерієм Шапіро-Уілка. В разі нормального </w:t>
      </w:r>
      <w:r w:rsidRPr="00012F54">
        <w:rPr>
          <w:rFonts w:ascii="Times New Roman" w:hAnsi="Times New Roman"/>
          <w:sz w:val="28"/>
          <w:szCs w:val="28"/>
          <w:lang w:val="uk-UA"/>
        </w:rPr>
        <w:lastRenderedPageBreak/>
        <w:t xml:space="preserve">розподілу для оцінки відмінностей показників використовували параметричний критерій t Ст’юдента, за відсутності такого – непараметричний критерій W Уайта, парний критерій Ť Вілкоксона – для верифікації значущих змін у динаміці всередині групи, точний коефіцієнт Фішера – при оцінці результатів в альтернативній формі [146, 147]. Статистично значущими вважали відмінності при р&lt;0,05. </w:t>
      </w:r>
      <w:r w:rsidRPr="00012F54">
        <w:rPr>
          <w:rFonts w:ascii="Times New Roman" w:hAnsi="Times New Roman"/>
          <w:sz w:val="28"/>
          <w:szCs w:val="28"/>
          <w:lang w:val="uk-UA"/>
        </w:rPr>
        <w:br w:type="page"/>
      </w:r>
    </w:p>
    <w:p w:rsidR="00012F54" w:rsidRPr="003F5A9A" w:rsidRDefault="00012F54" w:rsidP="00B065B6">
      <w:pPr>
        <w:pStyle w:val="1"/>
        <w:spacing w:before="0" w:after="0" w:line="360" w:lineRule="auto"/>
        <w:ind w:firstLine="284"/>
        <w:jc w:val="center"/>
        <w:rPr>
          <w:bCs w:val="0"/>
          <w:kern w:val="0"/>
          <w:sz w:val="28"/>
          <w:szCs w:val="28"/>
          <w:lang w:val="uk-UA"/>
        </w:rPr>
      </w:pPr>
      <w:r w:rsidRPr="003F5A9A">
        <w:rPr>
          <w:bCs w:val="0"/>
          <w:kern w:val="0"/>
          <w:sz w:val="28"/>
          <w:szCs w:val="28"/>
          <w:lang w:val="uk-UA"/>
        </w:rPr>
        <w:lastRenderedPageBreak/>
        <w:t>РОЗДІЛ 3</w:t>
      </w:r>
    </w:p>
    <w:p w:rsidR="00012F54" w:rsidRPr="003F5A9A" w:rsidRDefault="00012F54" w:rsidP="00B065B6">
      <w:pPr>
        <w:widowControl w:val="0"/>
        <w:spacing w:after="0" w:line="360" w:lineRule="auto"/>
        <w:ind w:firstLine="284"/>
        <w:jc w:val="center"/>
        <w:rPr>
          <w:rFonts w:ascii="Times New Roman" w:hAnsi="Times New Roman"/>
          <w:b/>
          <w:sz w:val="28"/>
          <w:szCs w:val="28"/>
          <w:lang w:val="uk-UA"/>
        </w:rPr>
      </w:pPr>
      <w:r w:rsidRPr="003F5A9A">
        <w:rPr>
          <w:rFonts w:ascii="Times New Roman" w:hAnsi="Times New Roman"/>
          <w:b/>
          <w:sz w:val="28"/>
          <w:szCs w:val="28"/>
          <w:lang w:val="uk-UA"/>
        </w:rPr>
        <w:t>СКРИНІНГ ЦЕРЕБРОПРОТЕКТОРНОЇ АКТИВНОСТІ АДЕМОЛУ В УМОВАХ РІЗНИХ ПІДТИПІВ ВНУТРІШНЬОЧЕРЕПНОГО КРОВОВИЛИВУ</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p>
    <w:p w:rsidR="00012F54" w:rsidRPr="005879AB" w:rsidRDefault="00012F54" w:rsidP="00B065B6">
      <w:pPr>
        <w:pStyle w:val="2"/>
        <w:spacing w:line="360" w:lineRule="auto"/>
        <w:ind w:firstLine="284"/>
        <w:jc w:val="both"/>
        <w:rPr>
          <w:rFonts w:ascii="Times New Roman" w:hAnsi="Times New Roman" w:cs="Times New Roman"/>
          <w:color w:val="auto"/>
          <w:sz w:val="28"/>
          <w:szCs w:val="28"/>
          <w:lang w:val="uk-UA" w:eastAsia="en-US"/>
        </w:rPr>
      </w:pPr>
      <w:r w:rsidRPr="005879AB">
        <w:rPr>
          <w:rFonts w:ascii="Times New Roman" w:hAnsi="Times New Roman" w:cs="Times New Roman"/>
          <w:color w:val="auto"/>
          <w:sz w:val="28"/>
          <w:szCs w:val="28"/>
          <w:lang w:val="uk-UA" w:eastAsia="en-US"/>
        </w:rPr>
        <w:t>3.1. Апробація моделі субарахноїдального крововиливу у щурів, викликаного введенням у підпавутинний простір м'якої мозкової оболонки аутокрові для доклінічної оцінки потенційних церебропротекторів</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Проведене дослідження показало, що у псевдооперованих щурів, яким в умовах пропофолового наркозу здійснювали трепанацію черепа за кістково-пластичною методикою </w:t>
      </w:r>
      <w:r w:rsidRPr="00012F54">
        <w:rPr>
          <w:rFonts w:ascii="Times New Roman" w:eastAsia="TimesNewRomanPSMT" w:hAnsi="Times New Roman"/>
          <w:sz w:val="28"/>
          <w:szCs w:val="28"/>
          <w:lang w:val="uk-UA"/>
        </w:rPr>
        <w:t>(стереотаксичні координати проекції: Н=7,0 мм, L=3,0 мм, А=1,5 мм від брегми)</w:t>
      </w:r>
      <w:r w:rsidRPr="00012F54">
        <w:rPr>
          <w:rFonts w:ascii="Times New Roman" w:hAnsi="Times New Roman"/>
          <w:sz w:val="28"/>
          <w:szCs w:val="28"/>
          <w:lang w:val="uk-UA"/>
        </w:rPr>
        <w:t xml:space="preserve">, летальність упродовж 4-х діб була відсутньою (табл. 3.1). </w:t>
      </w:r>
    </w:p>
    <w:p w:rsidR="00012F54" w:rsidRPr="0015531A" w:rsidRDefault="00012F54" w:rsidP="00012F54">
      <w:pPr>
        <w:widowControl w:val="0"/>
        <w:spacing w:after="0" w:line="360" w:lineRule="auto"/>
        <w:ind w:firstLine="284"/>
        <w:jc w:val="both"/>
        <w:rPr>
          <w:rFonts w:ascii="Times New Roman" w:hAnsi="Times New Roman"/>
          <w:sz w:val="16"/>
          <w:szCs w:val="16"/>
          <w:lang w:val="uk-UA"/>
        </w:rPr>
      </w:pPr>
    </w:p>
    <w:p w:rsidR="00012F54" w:rsidRDefault="00012F54" w:rsidP="00012F54">
      <w:pPr>
        <w:pStyle w:val="2"/>
        <w:ind w:firstLine="284"/>
        <w:jc w:val="right"/>
        <w:rPr>
          <w:rFonts w:ascii="Times New Roman" w:hAnsi="Times New Roman" w:cs="Times New Roman"/>
          <w:color w:val="auto"/>
          <w:szCs w:val="28"/>
          <w:lang w:val="uk-UA"/>
        </w:rPr>
      </w:pPr>
      <w:r w:rsidRPr="00012F54">
        <w:rPr>
          <w:rFonts w:ascii="Times New Roman" w:hAnsi="Times New Roman" w:cs="Times New Roman"/>
          <w:color w:val="auto"/>
          <w:szCs w:val="28"/>
          <w:lang w:val="uk-UA"/>
        </w:rPr>
        <w:t>Таблиця 3.1</w:t>
      </w:r>
    </w:p>
    <w:p w:rsidR="00336094" w:rsidRPr="0015531A" w:rsidRDefault="00336094" w:rsidP="00336094">
      <w:pPr>
        <w:rPr>
          <w:sz w:val="16"/>
          <w:szCs w:val="16"/>
          <w:lang w:val="uk-UA"/>
        </w:rPr>
      </w:pPr>
    </w:p>
    <w:p w:rsid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Залежність летальності щурів із модельним субарахноїдальним крововиливом від об’єму крові введеній у підпавутинний простір (n=</w:t>
      </w:r>
      <w:r w:rsidRPr="00012F54">
        <w:rPr>
          <w:rFonts w:ascii="Times New Roman" w:hAnsi="Times New Roman"/>
          <w:sz w:val="28"/>
          <w:szCs w:val="28"/>
        </w:rPr>
        <w:t>10</w:t>
      </w:r>
      <w:r w:rsidRPr="00012F54">
        <w:rPr>
          <w:rFonts w:ascii="Times New Roman" w:hAnsi="Times New Roman"/>
          <w:sz w:val="28"/>
          <w:szCs w:val="28"/>
          <w:lang w:val="uk-UA"/>
        </w:rPr>
        <w:t>)</w:t>
      </w:r>
    </w:p>
    <w:p w:rsidR="00763508" w:rsidRPr="00012F54" w:rsidRDefault="00763508" w:rsidP="00012F54">
      <w:pPr>
        <w:widowControl w:val="0"/>
        <w:spacing w:after="0" w:line="360" w:lineRule="auto"/>
        <w:ind w:firstLine="284"/>
        <w:jc w:val="center"/>
        <w:rPr>
          <w:rFonts w:ascii="Times New Roman" w:hAnsi="Times New Roman"/>
          <w:sz w:val="28"/>
          <w:szCs w:val="28"/>
          <w:lang w:val="uk-UA"/>
        </w:rPr>
      </w:pP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1276"/>
        <w:gridCol w:w="1134"/>
        <w:gridCol w:w="1134"/>
        <w:gridCol w:w="1276"/>
        <w:gridCol w:w="1276"/>
        <w:gridCol w:w="994"/>
      </w:tblGrid>
      <w:tr w:rsidR="00012F54" w:rsidRPr="00012F54" w:rsidTr="00012F54">
        <w:trPr>
          <w:trHeight w:val="230"/>
          <w:jc w:val="center"/>
        </w:trPr>
        <w:tc>
          <w:tcPr>
            <w:tcW w:w="1555" w:type="dxa"/>
            <w:vMerge w:val="restart"/>
            <w:tcBorders>
              <w:top w:val="single" w:sz="4" w:space="0" w:color="auto"/>
              <w:left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Групи</w:t>
            </w:r>
          </w:p>
        </w:tc>
        <w:tc>
          <w:tcPr>
            <w:tcW w:w="7090" w:type="dxa"/>
            <w:gridSpan w:val="6"/>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Летальність, абс. / %, термін, год</w:t>
            </w:r>
          </w:p>
        </w:tc>
      </w:tr>
      <w:tr w:rsidR="00012F54" w:rsidRPr="00012F54" w:rsidTr="00012F54">
        <w:trPr>
          <w:trHeight w:val="443"/>
          <w:jc w:val="center"/>
        </w:trPr>
        <w:tc>
          <w:tcPr>
            <w:tcW w:w="1555" w:type="dxa"/>
            <w:vMerge/>
            <w:tcBorders>
              <w:left w:val="single" w:sz="4" w:space="0" w:color="auto"/>
              <w:bottom w:val="single" w:sz="4" w:space="0" w:color="auto"/>
              <w:right w:val="single" w:sz="4" w:space="0" w:color="auto"/>
            </w:tcBorders>
            <w:hideMark/>
          </w:tcPr>
          <w:p w:rsidR="00012F54" w:rsidRPr="00012F54" w:rsidRDefault="00012F54" w:rsidP="00D17BD3">
            <w:pPr>
              <w:pStyle w:val="aa"/>
              <w:widowControl w:val="0"/>
              <w:spacing w:before="60" w:after="60" w:line="240" w:lineRule="auto"/>
              <w:jc w:val="center"/>
              <w:rPr>
                <w:rFonts w:ascii="Times New Roman" w:hAnsi="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96</w:t>
            </w:r>
          </w:p>
        </w:tc>
        <w:tc>
          <w:tcPr>
            <w:tcW w:w="99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120</w:t>
            </w:r>
          </w:p>
        </w:tc>
      </w:tr>
      <w:tr w:rsidR="00012F54" w:rsidRPr="00012F54" w:rsidTr="00012F54">
        <w:trPr>
          <w:trHeight w:val="421"/>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99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r>
      <w:tr w:rsidR="00012F54" w:rsidRPr="00012F54" w:rsidTr="00012F54">
        <w:trPr>
          <w:trHeight w:val="555"/>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30º</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50º</w:t>
            </w:r>
            <w:r w:rsidRPr="00012F54">
              <w:rPr>
                <w:rFonts w:ascii="Times New Roman" w:hAnsi="Times New Roman"/>
                <w:sz w:val="28"/>
                <w:szCs w:val="28"/>
                <w:vertAlign w:val="superscript"/>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60º</w:t>
            </w:r>
            <w:r w:rsidRPr="00012F54">
              <w:rPr>
                <w:rFonts w:ascii="Times New Roman" w:hAnsi="Times New Roman"/>
                <w:sz w:val="28"/>
                <w:szCs w:val="28"/>
                <w:vertAlign w:val="superscript"/>
                <w:lang w:val="uk-UA"/>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70º</w:t>
            </w:r>
            <w:r w:rsidRPr="00012F54">
              <w:rPr>
                <w:rFonts w:ascii="Times New Roman" w:hAnsi="Times New Roman"/>
                <w:sz w:val="28"/>
                <w:szCs w:val="28"/>
                <w:vertAlign w:val="superscript"/>
                <w:lang w:val="uk-UA"/>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80º</w:t>
            </w:r>
            <w:r w:rsidRPr="00012F54">
              <w:rPr>
                <w:rFonts w:ascii="Times New Roman" w:hAnsi="Times New Roman"/>
                <w:sz w:val="28"/>
                <w:szCs w:val="28"/>
                <w:vertAlign w:val="superscript"/>
                <w:lang w:val="uk-UA"/>
              </w:rPr>
              <w:t>#</w:t>
            </w:r>
          </w:p>
        </w:tc>
        <w:tc>
          <w:tcPr>
            <w:tcW w:w="99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90º</w:t>
            </w:r>
            <w:r w:rsidRPr="00012F54">
              <w:rPr>
                <w:rFonts w:ascii="Times New Roman" w:hAnsi="Times New Roman"/>
                <w:sz w:val="28"/>
                <w:szCs w:val="28"/>
                <w:vertAlign w:val="superscript"/>
                <w:lang w:val="uk-UA"/>
              </w:rPr>
              <w:t>#</w:t>
            </w:r>
          </w:p>
        </w:tc>
      </w:tr>
      <w:tr w:rsidR="00012F54" w:rsidRPr="00012F54" w:rsidTr="00012F54">
        <w:trPr>
          <w:trHeight w:val="421"/>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30º</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30º</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70º</w:t>
            </w:r>
          </w:p>
        </w:tc>
        <w:tc>
          <w:tcPr>
            <w:tcW w:w="99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70º</w:t>
            </w:r>
          </w:p>
        </w:tc>
      </w:tr>
      <w:tr w:rsidR="00012F54" w:rsidRPr="00012F54" w:rsidTr="00012F54">
        <w:trPr>
          <w:trHeight w:val="413"/>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ІV</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20º</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20º</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50º</w:t>
            </w:r>
          </w:p>
        </w:tc>
        <w:tc>
          <w:tcPr>
            <w:tcW w:w="994"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70º</w:t>
            </w:r>
          </w:p>
        </w:tc>
      </w:tr>
    </w:tbl>
    <w:p w:rsidR="00012F54" w:rsidRPr="00763508" w:rsidRDefault="00012F54" w:rsidP="00012F54">
      <w:pPr>
        <w:widowControl w:val="0"/>
        <w:tabs>
          <w:tab w:val="left" w:pos="1080"/>
        </w:tabs>
        <w:spacing w:after="0" w:line="240" w:lineRule="auto"/>
        <w:ind w:firstLine="284"/>
        <w:jc w:val="both"/>
        <w:rPr>
          <w:rFonts w:ascii="Times New Roman" w:hAnsi="Times New Roman"/>
          <w:sz w:val="28"/>
          <w:szCs w:val="28"/>
          <w:lang w:val="uk-UA"/>
        </w:rPr>
      </w:pPr>
    </w:p>
    <w:p w:rsidR="00012F54" w:rsidRPr="00012F54" w:rsidRDefault="00012F54" w:rsidP="00B065B6">
      <w:pPr>
        <w:widowControl w:val="0"/>
        <w:tabs>
          <w:tab w:val="left" w:pos="108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Примітки:</w:t>
      </w:r>
    </w:p>
    <w:p w:rsidR="00012F54" w:rsidRPr="00012F54" w:rsidRDefault="00012F54" w:rsidP="00D17BD3">
      <w:pPr>
        <w:widowControl w:val="0"/>
        <w:numPr>
          <w:ilvl w:val="0"/>
          <w:numId w:val="6"/>
        </w:numPr>
        <w:tabs>
          <w:tab w:val="left" w:pos="709"/>
          <w:tab w:val="left" w:pos="993"/>
        </w:tabs>
        <w:spacing w:after="0" w:line="360" w:lineRule="auto"/>
        <w:ind w:left="0" w:firstLine="709"/>
        <w:jc w:val="both"/>
        <w:rPr>
          <w:rFonts w:ascii="Times New Roman" w:hAnsi="Times New Roman"/>
          <w:sz w:val="28"/>
          <w:szCs w:val="28"/>
          <w:lang w:val="uk-UA"/>
        </w:rPr>
      </w:pPr>
      <w:r w:rsidRPr="00012F54">
        <w:rPr>
          <w:rFonts w:ascii="Times New Roman" w:hAnsi="Times New Roman"/>
          <w:sz w:val="28"/>
          <w:szCs w:val="28"/>
          <w:lang w:val="uk-UA"/>
        </w:rPr>
        <w:t>º – р&lt;0,05 відносно І</w:t>
      </w:r>
      <w:r w:rsidRPr="00012F54">
        <w:rPr>
          <w:rFonts w:ascii="Times New Roman" w:hAnsi="Times New Roman"/>
          <w:sz w:val="28"/>
          <w:szCs w:val="28"/>
          <w:vertAlign w:val="subscript"/>
          <w:lang w:val="uk-UA"/>
        </w:rPr>
        <w:t>САК</w:t>
      </w:r>
      <w:r w:rsidRPr="00012F54">
        <w:rPr>
          <w:rFonts w:ascii="Times New Roman" w:hAnsi="Times New Roman"/>
          <w:sz w:val="28"/>
          <w:szCs w:val="28"/>
          <w:lang w:val="uk-UA"/>
        </w:rPr>
        <w:t>-ої групи;</w:t>
      </w:r>
    </w:p>
    <w:p w:rsidR="00012F54" w:rsidRPr="00012F54" w:rsidRDefault="00012F54" w:rsidP="00D17BD3">
      <w:pPr>
        <w:pStyle w:val="a5"/>
        <w:widowControl w:val="0"/>
        <w:numPr>
          <w:ilvl w:val="0"/>
          <w:numId w:val="6"/>
        </w:numPr>
        <w:tabs>
          <w:tab w:val="left" w:pos="993"/>
        </w:tabs>
        <w:spacing w:after="0" w:line="360" w:lineRule="auto"/>
        <w:ind w:left="0" w:firstLine="709"/>
        <w:jc w:val="both"/>
        <w:rPr>
          <w:rFonts w:ascii="Times New Roman" w:hAnsi="Times New Roman"/>
          <w:sz w:val="28"/>
          <w:szCs w:val="28"/>
          <w:lang w:val="uk-UA"/>
        </w:rPr>
      </w:pPr>
      <w:r w:rsidRPr="00012F54">
        <w:rPr>
          <w:rFonts w:ascii="Times New Roman" w:hAnsi="Times New Roman"/>
          <w:sz w:val="28"/>
          <w:szCs w:val="28"/>
          <w:lang w:val="uk-UA"/>
        </w:rPr>
        <w:t>* – р&lt;0,05 відносно ІІІ</w:t>
      </w:r>
      <w:r w:rsidRPr="00012F54">
        <w:rPr>
          <w:rFonts w:ascii="Times New Roman" w:hAnsi="Times New Roman"/>
          <w:sz w:val="28"/>
          <w:szCs w:val="28"/>
          <w:vertAlign w:val="subscript"/>
          <w:lang w:val="uk-UA"/>
        </w:rPr>
        <w:t>САК</w:t>
      </w:r>
      <w:r w:rsidRPr="00012F54">
        <w:rPr>
          <w:rFonts w:ascii="Times New Roman" w:hAnsi="Times New Roman"/>
          <w:sz w:val="28"/>
          <w:szCs w:val="28"/>
          <w:lang w:val="uk-UA"/>
        </w:rPr>
        <w:t>-ої групи;</w:t>
      </w:r>
    </w:p>
    <w:p w:rsidR="00012F54" w:rsidRPr="00012F54" w:rsidRDefault="00012F54" w:rsidP="00D17BD3">
      <w:pPr>
        <w:pStyle w:val="a5"/>
        <w:widowControl w:val="0"/>
        <w:numPr>
          <w:ilvl w:val="0"/>
          <w:numId w:val="6"/>
        </w:numPr>
        <w:tabs>
          <w:tab w:val="left" w:pos="993"/>
        </w:tabs>
        <w:spacing w:after="0" w:line="360" w:lineRule="auto"/>
        <w:ind w:left="0" w:firstLine="709"/>
        <w:jc w:val="both"/>
        <w:rPr>
          <w:rFonts w:ascii="Times New Roman" w:hAnsi="Times New Roman"/>
          <w:sz w:val="28"/>
          <w:szCs w:val="28"/>
          <w:lang w:val="uk-UA"/>
        </w:rPr>
      </w:pPr>
      <w:r w:rsidRPr="00012F54">
        <w:rPr>
          <w:rFonts w:ascii="Times New Roman" w:hAnsi="Times New Roman"/>
          <w:sz w:val="28"/>
          <w:szCs w:val="28"/>
          <w:vertAlign w:val="superscript"/>
          <w:lang w:val="uk-UA"/>
        </w:rPr>
        <w:t xml:space="preserve"># </w:t>
      </w:r>
      <w:r w:rsidRPr="00012F54">
        <w:rPr>
          <w:rFonts w:ascii="Times New Roman" w:hAnsi="Times New Roman"/>
          <w:sz w:val="28"/>
          <w:szCs w:val="28"/>
          <w:lang w:val="uk-UA"/>
        </w:rPr>
        <w:t>– р&lt;0,05 відносно ІV</w:t>
      </w:r>
      <w:r w:rsidRPr="00012F54">
        <w:rPr>
          <w:rFonts w:ascii="Times New Roman" w:hAnsi="Times New Roman"/>
          <w:sz w:val="28"/>
          <w:szCs w:val="28"/>
          <w:vertAlign w:val="subscript"/>
          <w:lang w:val="uk-UA"/>
        </w:rPr>
        <w:t>САК</w:t>
      </w:r>
      <w:r w:rsidRPr="00012F54">
        <w:rPr>
          <w:rFonts w:ascii="Times New Roman" w:hAnsi="Times New Roman"/>
          <w:sz w:val="28"/>
          <w:szCs w:val="28"/>
          <w:lang w:val="uk-UA"/>
        </w:rPr>
        <w:t>-ої групи.</w:t>
      </w:r>
    </w:p>
    <w:p w:rsidR="00012F54" w:rsidRPr="00012F54" w:rsidRDefault="00012F54" w:rsidP="00D17BD3">
      <w:pPr>
        <w:pStyle w:val="a5"/>
        <w:widowControl w:val="0"/>
        <w:numPr>
          <w:ilvl w:val="0"/>
          <w:numId w:val="6"/>
        </w:numPr>
        <w:tabs>
          <w:tab w:val="left" w:pos="993"/>
        </w:tabs>
        <w:spacing w:after="0" w:line="360" w:lineRule="auto"/>
        <w:ind w:left="0" w:firstLine="709"/>
        <w:jc w:val="both"/>
        <w:rPr>
          <w:rFonts w:ascii="Times New Roman" w:hAnsi="Times New Roman"/>
          <w:sz w:val="28"/>
          <w:szCs w:val="28"/>
          <w:lang w:val="uk-UA"/>
        </w:rPr>
      </w:pPr>
      <w:r w:rsidRPr="00012F54">
        <w:rPr>
          <w:rFonts w:ascii="Times New Roman" w:hAnsi="Times New Roman"/>
          <w:sz w:val="28"/>
          <w:szCs w:val="28"/>
          <w:lang w:val="uk-UA"/>
        </w:rPr>
        <w:t>n – кількість тварин в групі</w:t>
      </w:r>
    </w:p>
    <w:p w:rsidR="00012F54" w:rsidRPr="0015531A" w:rsidRDefault="00012F54" w:rsidP="00B065B6">
      <w:pPr>
        <w:widowControl w:val="0"/>
        <w:spacing w:after="0" w:line="360" w:lineRule="auto"/>
        <w:ind w:firstLine="284"/>
        <w:jc w:val="both"/>
        <w:rPr>
          <w:rFonts w:ascii="Times New Roman" w:hAnsi="Times New Roman"/>
          <w:sz w:val="16"/>
          <w:szCs w:val="16"/>
          <w:lang w:val="uk-UA"/>
        </w:rPr>
      </w:pP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Це вказує на той факт, що оперативне втручання не призводить до порушення діяльності мозку та інших вітальних органів і систем, яке може призвести до смерті </w:t>
      </w:r>
      <w:r w:rsidRPr="00012F54">
        <w:rPr>
          <w:rFonts w:ascii="Times New Roman" w:hAnsi="Times New Roman"/>
          <w:sz w:val="28"/>
          <w:szCs w:val="28"/>
          <w:lang w:val="uk-UA"/>
        </w:rPr>
        <w:lastRenderedPageBreak/>
        <w:t xml:space="preserve">тварини. У щурів із моделлю САК, яка була викликана </w:t>
      </w:r>
      <w:r w:rsidRPr="00012F54">
        <w:rPr>
          <w:rFonts w:ascii="Times New Roman" w:eastAsia="TimesNewRomanPSMT" w:hAnsi="Times New Roman"/>
          <w:sz w:val="28"/>
          <w:szCs w:val="28"/>
          <w:lang w:val="uk-UA"/>
        </w:rPr>
        <w:t xml:space="preserve">ін’єкцією через катетер у </w:t>
      </w:r>
      <w:bookmarkStart w:id="32" w:name="_Hlk51940514"/>
      <w:r w:rsidRPr="00012F54">
        <w:rPr>
          <w:rFonts w:ascii="Times New Roman" w:eastAsia="TimesNewRomanPSMT" w:hAnsi="Times New Roman"/>
          <w:sz w:val="28"/>
          <w:szCs w:val="28"/>
          <w:lang w:val="uk-UA"/>
        </w:rPr>
        <w:t xml:space="preserve">САП </w:t>
      </w:r>
      <w:bookmarkEnd w:id="32"/>
      <w:r w:rsidRPr="00012F54">
        <w:rPr>
          <w:rFonts w:ascii="Times New Roman" w:eastAsia="TimesNewRomanPSMT" w:hAnsi="Times New Roman"/>
          <w:sz w:val="28"/>
          <w:szCs w:val="28"/>
          <w:lang w:val="uk-UA"/>
        </w:rPr>
        <w:t>(трепанаційний отвір локалізувався у місці аналогічному до псевдооперованих тварин) гепаринізованоїаутокрові (0,1 мл/кг)</w:t>
      </w:r>
      <w:r w:rsidRPr="00012F54">
        <w:rPr>
          <w:rFonts w:ascii="Times New Roman" w:hAnsi="Times New Roman"/>
          <w:sz w:val="28"/>
          <w:szCs w:val="28"/>
          <w:lang w:val="uk-UA"/>
        </w:rPr>
        <w:t xml:space="preserve"> упродовж перших двох діб відмічалось прогресуюче збільшення показника летальності: більше половини тварин (60%) загинуло у цей часовий проміжок, що можна вважати за критичний рубіж для даної патології. В подальшому цей показник зростав, і через 96 год (4-та доба, кінець спостереженння) становив 80 %, р&lt;0,05. Зменшення об’єму введеної у підпавутинний простір аутокрові, закономірно знайшло своє віддзеркалення у виживаності щурів із моделлю САК. Так зменшення такого об’єму до 0,07 мл/кг, супроводжувалось вірогідними змінами у критичний період експерименту, коли показник летальності щурів був меншим відносно попередньої моделі в середньому на 30 %, р&lt;0,05. Таке відсоткове співвідношення було закономірним і зберігалось наступні 24 год, маючи достеменний характер із вірогідністю 99,95 %.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Подальше зменшення об’єму введеної у підпавутинний простір аутокрові ще на 0,02 мл до 0,05 мл/кг, також призвело до зменшення летальності тварин із САК, що супроводжувалось зростанням виживаності щурів в середньому на 10 %. Однак, таке покращення не мало достеменних ознак, проявляючись в якості тенденції. У наступні строки спостереження подібна динаміка була незмінною, і лише на 4-ту добу виживаність зросла до 20 % проти ІІІ-ої групи, р&gt;0,05.</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Таким чином, за динамікою показника летальності, можна зробити попередній висновок, стосовно можливої класифікації ступеня важкості САК, який зростає від легкого до тяжкого в залежності від об’єму крові введеній у підпавутинний простір, відповідно від 0,05 до 0,1 мл/кг, табл. 3.2.</w:t>
      </w:r>
    </w:p>
    <w:p w:rsidR="00012F54" w:rsidRDefault="00012F54" w:rsidP="00B065B6">
      <w:pPr>
        <w:shd w:val="clear" w:color="auto" w:fill="FFFFFF"/>
        <w:tabs>
          <w:tab w:val="left" w:pos="-1080"/>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Паралельно здійснювалась розробка критеріїв оцінки величини та характеристики ступенів САК в залежності від об’єму крові введеній у підпавутинний простір за змінами активності в сироватці крові маркеру деструкції нейронів нейрон-специфічної енолази (NSE). Використана модель САК із оцінкою специфічного високочутливого маркеру, який віддзеркалює морфологічну цілісність нейронів, дозволить проводити екстраполяцію отриманих експериментальних даних на відповідну клінічну нозологію у людей. Це, у свою чергу, буде сприяти </w:t>
      </w:r>
      <w:r w:rsidRPr="00012F54">
        <w:rPr>
          <w:rFonts w:ascii="Times New Roman" w:hAnsi="Times New Roman"/>
          <w:sz w:val="28"/>
          <w:szCs w:val="28"/>
          <w:lang w:val="uk-UA"/>
        </w:rPr>
        <w:lastRenderedPageBreak/>
        <w:t xml:space="preserve">запровадженню в практичну медицину препаратів із нейроцитопротективною активністю для лікування геморагічних уражень головного мозку. </w:t>
      </w:r>
    </w:p>
    <w:p w:rsidR="00012F54" w:rsidRDefault="00012F54" w:rsidP="00012F54">
      <w:pPr>
        <w:pStyle w:val="2"/>
        <w:ind w:firstLine="284"/>
        <w:jc w:val="right"/>
        <w:rPr>
          <w:rFonts w:ascii="Times New Roman" w:hAnsi="Times New Roman" w:cs="Times New Roman"/>
          <w:color w:val="auto"/>
          <w:szCs w:val="28"/>
          <w:lang w:val="uk-UA"/>
        </w:rPr>
      </w:pPr>
      <w:r w:rsidRPr="00012F54">
        <w:rPr>
          <w:rFonts w:ascii="Times New Roman" w:hAnsi="Times New Roman" w:cs="Times New Roman"/>
          <w:color w:val="auto"/>
          <w:szCs w:val="28"/>
          <w:lang w:val="uk-UA"/>
        </w:rPr>
        <w:t>Таблиця 3.2</w:t>
      </w:r>
    </w:p>
    <w:p w:rsidR="0015531A" w:rsidRPr="0015531A" w:rsidRDefault="0015531A" w:rsidP="0015531A">
      <w:pPr>
        <w:rPr>
          <w:sz w:val="16"/>
          <w:szCs w:val="16"/>
          <w:lang w:val="uk-UA"/>
        </w:rPr>
      </w:pP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 xml:space="preserve">Ранжування ступеня важкості субарахноїдального крововиливу </w:t>
      </w: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 xml:space="preserve">в залежності від летальності щурів в критичний період інсульту (48 год) </w:t>
      </w:r>
    </w:p>
    <w:p w:rsid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та від об’єму крові введеній у підпавутинний простір (n=</w:t>
      </w:r>
      <w:r w:rsidRPr="00012F54">
        <w:rPr>
          <w:rFonts w:ascii="Times New Roman" w:hAnsi="Times New Roman"/>
          <w:sz w:val="28"/>
          <w:szCs w:val="28"/>
        </w:rPr>
        <w:t>1</w:t>
      </w:r>
      <w:r w:rsidRPr="00012F54">
        <w:rPr>
          <w:rFonts w:ascii="Times New Roman" w:hAnsi="Times New Roman"/>
          <w:sz w:val="28"/>
          <w:szCs w:val="28"/>
          <w:lang w:val="uk-UA"/>
        </w:rPr>
        <w:t xml:space="preserve">0) </w:t>
      </w:r>
    </w:p>
    <w:p w:rsidR="00763508" w:rsidRPr="00012F54" w:rsidRDefault="00763508" w:rsidP="00012F54">
      <w:pPr>
        <w:widowControl w:val="0"/>
        <w:spacing w:after="0" w:line="360" w:lineRule="auto"/>
        <w:ind w:firstLine="284"/>
        <w:jc w:val="center"/>
        <w:rPr>
          <w:rFonts w:ascii="Times New Roman" w:hAnsi="Times New Roman"/>
          <w:sz w:val="28"/>
          <w:szCs w:val="28"/>
          <w:lang w:val="uk-UA"/>
        </w:rPr>
      </w:pPr>
    </w:p>
    <w:tbl>
      <w:tblPr>
        <w:tblStyle w:val="af2"/>
        <w:tblW w:w="0" w:type="auto"/>
        <w:tblInd w:w="1384" w:type="dxa"/>
        <w:tblLook w:val="04A0"/>
      </w:tblPr>
      <w:tblGrid>
        <w:gridCol w:w="1843"/>
        <w:gridCol w:w="2835"/>
        <w:gridCol w:w="2835"/>
      </w:tblGrid>
      <w:tr w:rsidR="00ED56C3" w:rsidTr="00ED56C3">
        <w:tc>
          <w:tcPr>
            <w:tcW w:w="1843"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uk-UA"/>
              </w:rPr>
            </w:pPr>
            <w:r w:rsidRPr="00336094">
              <w:rPr>
                <w:rFonts w:ascii="Times New Roman" w:hAnsi="Times New Roman"/>
                <w:sz w:val="28"/>
                <w:szCs w:val="28"/>
                <w:lang w:val="uk-UA"/>
              </w:rPr>
              <w:t>Об</w:t>
            </w:r>
            <w:r w:rsidRPr="00336094">
              <w:rPr>
                <w:rFonts w:ascii="Times New Roman" w:hAnsi="Times New Roman"/>
                <w:sz w:val="28"/>
                <w:szCs w:val="28"/>
                <w:lang w:val="en-US"/>
              </w:rPr>
              <w:t>’</w:t>
            </w:r>
            <w:r w:rsidRPr="00336094">
              <w:rPr>
                <w:rFonts w:ascii="Times New Roman" w:hAnsi="Times New Roman"/>
                <w:sz w:val="28"/>
                <w:szCs w:val="28"/>
                <w:lang w:val="uk-UA"/>
              </w:rPr>
              <w:t>єм крові</w:t>
            </w:r>
          </w:p>
        </w:tc>
        <w:tc>
          <w:tcPr>
            <w:tcW w:w="2835"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uk-UA"/>
              </w:rPr>
            </w:pPr>
            <w:r w:rsidRPr="00336094">
              <w:rPr>
                <w:rFonts w:ascii="Times New Roman" w:hAnsi="Times New Roman"/>
                <w:sz w:val="28"/>
                <w:szCs w:val="28"/>
                <w:lang w:val="uk-UA"/>
              </w:rPr>
              <w:t>Групи</w:t>
            </w:r>
          </w:p>
        </w:tc>
        <w:tc>
          <w:tcPr>
            <w:tcW w:w="2835"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uk-UA"/>
              </w:rPr>
            </w:pPr>
            <w:r w:rsidRPr="00336094">
              <w:rPr>
                <w:rFonts w:ascii="Times New Roman" w:hAnsi="Times New Roman"/>
                <w:sz w:val="28"/>
                <w:szCs w:val="28"/>
                <w:lang w:val="uk-UA"/>
              </w:rPr>
              <w:t>Ступінь важкості</w:t>
            </w:r>
          </w:p>
        </w:tc>
      </w:tr>
      <w:tr w:rsidR="00ED56C3" w:rsidTr="00ED56C3">
        <w:tc>
          <w:tcPr>
            <w:tcW w:w="1843"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uk-UA"/>
              </w:rPr>
            </w:pPr>
            <w:r w:rsidRPr="00336094">
              <w:rPr>
                <w:rFonts w:ascii="Times New Roman" w:hAnsi="Times New Roman"/>
                <w:sz w:val="28"/>
                <w:szCs w:val="28"/>
                <w:lang w:val="uk-UA"/>
              </w:rPr>
              <w:t>0 мл/кг</w:t>
            </w:r>
          </w:p>
        </w:tc>
        <w:tc>
          <w:tcPr>
            <w:tcW w:w="2835"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en-US"/>
              </w:rPr>
            </w:pPr>
            <w:r w:rsidRPr="00336094">
              <w:rPr>
                <w:rFonts w:ascii="Times New Roman" w:hAnsi="Times New Roman"/>
                <w:sz w:val="28"/>
                <w:szCs w:val="28"/>
                <w:lang w:val="en-US"/>
              </w:rPr>
              <w:t>I</w:t>
            </w:r>
          </w:p>
        </w:tc>
        <w:tc>
          <w:tcPr>
            <w:tcW w:w="2835"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uk-UA"/>
              </w:rPr>
            </w:pPr>
            <w:r w:rsidRPr="00336094">
              <w:rPr>
                <w:rFonts w:ascii="Times New Roman" w:hAnsi="Times New Roman"/>
                <w:sz w:val="28"/>
                <w:szCs w:val="28"/>
                <w:lang w:val="uk-UA"/>
              </w:rPr>
              <w:t>-</w:t>
            </w:r>
          </w:p>
        </w:tc>
      </w:tr>
      <w:tr w:rsidR="00ED56C3" w:rsidTr="00ED56C3">
        <w:tc>
          <w:tcPr>
            <w:tcW w:w="1843"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uk-UA"/>
              </w:rPr>
            </w:pPr>
            <w:r w:rsidRPr="00336094">
              <w:rPr>
                <w:rFonts w:ascii="Times New Roman" w:hAnsi="Times New Roman"/>
                <w:sz w:val="28"/>
                <w:szCs w:val="28"/>
                <w:lang w:val="uk-UA"/>
              </w:rPr>
              <w:t>0,05 мл/кг</w:t>
            </w:r>
          </w:p>
        </w:tc>
        <w:tc>
          <w:tcPr>
            <w:tcW w:w="2835"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en-US"/>
              </w:rPr>
            </w:pPr>
            <w:r w:rsidRPr="00336094">
              <w:rPr>
                <w:rFonts w:ascii="Times New Roman" w:hAnsi="Times New Roman"/>
                <w:sz w:val="28"/>
                <w:szCs w:val="28"/>
                <w:lang w:val="en-US"/>
              </w:rPr>
              <w:t>II</w:t>
            </w:r>
          </w:p>
        </w:tc>
        <w:tc>
          <w:tcPr>
            <w:tcW w:w="2835"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uk-UA"/>
              </w:rPr>
            </w:pPr>
            <w:r w:rsidRPr="00336094">
              <w:rPr>
                <w:rFonts w:ascii="Times New Roman" w:hAnsi="Times New Roman"/>
                <w:sz w:val="28"/>
                <w:szCs w:val="28"/>
                <w:lang w:val="uk-UA"/>
              </w:rPr>
              <w:t>легкий</w:t>
            </w:r>
          </w:p>
        </w:tc>
      </w:tr>
      <w:tr w:rsidR="00ED56C3" w:rsidTr="00ED56C3">
        <w:tc>
          <w:tcPr>
            <w:tcW w:w="1843"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uk-UA"/>
              </w:rPr>
            </w:pPr>
            <w:r w:rsidRPr="00336094">
              <w:rPr>
                <w:rFonts w:ascii="Times New Roman" w:hAnsi="Times New Roman"/>
                <w:sz w:val="28"/>
                <w:szCs w:val="28"/>
                <w:lang w:val="uk-UA"/>
              </w:rPr>
              <w:t>0,07 мл/кг</w:t>
            </w:r>
          </w:p>
        </w:tc>
        <w:tc>
          <w:tcPr>
            <w:tcW w:w="2835"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en-US"/>
              </w:rPr>
            </w:pPr>
            <w:r w:rsidRPr="00336094">
              <w:rPr>
                <w:rFonts w:ascii="Times New Roman" w:hAnsi="Times New Roman"/>
                <w:sz w:val="28"/>
                <w:szCs w:val="28"/>
                <w:lang w:val="en-US"/>
              </w:rPr>
              <w:t>III</w:t>
            </w:r>
          </w:p>
        </w:tc>
        <w:tc>
          <w:tcPr>
            <w:tcW w:w="2835"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uk-UA"/>
              </w:rPr>
            </w:pPr>
            <w:r w:rsidRPr="00336094">
              <w:rPr>
                <w:rFonts w:ascii="Times New Roman" w:hAnsi="Times New Roman"/>
                <w:sz w:val="28"/>
                <w:szCs w:val="28"/>
                <w:lang w:val="uk-UA"/>
              </w:rPr>
              <w:t>середній</w:t>
            </w:r>
          </w:p>
        </w:tc>
      </w:tr>
      <w:tr w:rsidR="00ED56C3" w:rsidTr="00ED56C3">
        <w:tc>
          <w:tcPr>
            <w:tcW w:w="1843"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uk-UA"/>
              </w:rPr>
            </w:pPr>
            <w:r w:rsidRPr="00336094">
              <w:rPr>
                <w:rFonts w:ascii="Times New Roman" w:hAnsi="Times New Roman"/>
                <w:sz w:val="28"/>
                <w:szCs w:val="28"/>
                <w:lang w:val="uk-UA"/>
              </w:rPr>
              <w:t>0.1 мл/кг</w:t>
            </w:r>
          </w:p>
        </w:tc>
        <w:tc>
          <w:tcPr>
            <w:tcW w:w="2835"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uk-UA"/>
              </w:rPr>
            </w:pPr>
            <w:r w:rsidRPr="00336094">
              <w:rPr>
                <w:rFonts w:ascii="Times New Roman" w:hAnsi="Times New Roman"/>
                <w:sz w:val="28"/>
                <w:szCs w:val="28"/>
                <w:lang w:val="en-US"/>
              </w:rPr>
              <w:t>IV</w:t>
            </w:r>
          </w:p>
        </w:tc>
        <w:tc>
          <w:tcPr>
            <w:tcW w:w="2835" w:type="dxa"/>
          </w:tcPr>
          <w:p w:rsidR="00ED56C3" w:rsidRPr="00336094" w:rsidRDefault="00ED56C3" w:rsidP="00D17BD3">
            <w:pPr>
              <w:tabs>
                <w:tab w:val="left" w:pos="-1080"/>
                <w:tab w:val="left" w:pos="0"/>
              </w:tabs>
              <w:spacing w:before="60" w:after="60" w:line="240" w:lineRule="auto"/>
              <w:jc w:val="center"/>
              <w:rPr>
                <w:rFonts w:ascii="Times New Roman" w:hAnsi="Times New Roman"/>
                <w:sz w:val="28"/>
                <w:szCs w:val="28"/>
                <w:lang w:val="uk-UA"/>
              </w:rPr>
            </w:pPr>
            <w:r w:rsidRPr="00336094">
              <w:rPr>
                <w:rFonts w:ascii="Times New Roman" w:hAnsi="Times New Roman"/>
                <w:sz w:val="28"/>
                <w:szCs w:val="28"/>
                <w:lang w:val="uk-UA"/>
              </w:rPr>
              <w:t>тяжкий</w:t>
            </w:r>
          </w:p>
        </w:tc>
      </w:tr>
    </w:tbl>
    <w:p w:rsidR="00012F54" w:rsidRPr="00763508" w:rsidRDefault="00012F54" w:rsidP="00012F54">
      <w:pPr>
        <w:shd w:val="clear" w:color="auto" w:fill="FFFFFF"/>
        <w:tabs>
          <w:tab w:val="left" w:pos="-1080"/>
          <w:tab w:val="left" w:pos="0"/>
        </w:tabs>
        <w:spacing w:after="0" w:line="360" w:lineRule="auto"/>
        <w:ind w:firstLine="284"/>
        <w:jc w:val="both"/>
        <w:rPr>
          <w:rFonts w:ascii="Times New Roman" w:hAnsi="Times New Roman"/>
          <w:sz w:val="28"/>
          <w:szCs w:val="28"/>
          <w:lang w:val="uk-UA"/>
        </w:rPr>
      </w:pPr>
    </w:p>
    <w:p w:rsidR="00012F54" w:rsidRPr="00012F54" w:rsidRDefault="00012F54" w:rsidP="007342CD">
      <w:pPr>
        <w:shd w:val="clear" w:color="auto" w:fill="FFFFFF"/>
        <w:tabs>
          <w:tab w:val="left" w:pos="-1080"/>
          <w:tab w:val="left" w:pos="0"/>
        </w:tabs>
        <w:spacing w:after="0" w:line="360" w:lineRule="auto"/>
        <w:ind w:firstLine="709"/>
        <w:jc w:val="both"/>
        <w:rPr>
          <w:rFonts w:ascii="Times New Roman" w:hAnsi="Times New Roman"/>
          <w:sz w:val="28"/>
          <w:szCs w:val="28"/>
          <w:lang w:val="uk-UA"/>
        </w:rPr>
      </w:pPr>
      <w:r w:rsidRPr="00012F54">
        <w:rPr>
          <w:rFonts w:ascii="Times New Roman" w:hAnsi="Times New Roman"/>
          <w:sz w:val="28"/>
          <w:szCs w:val="28"/>
          <w:lang w:val="uk-UA"/>
        </w:rPr>
        <w:t xml:space="preserve">Примітка: </w:t>
      </w:r>
      <w:r w:rsidRPr="00012F54">
        <w:rPr>
          <w:rFonts w:ascii="Times New Roman" w:hAnsi="Times New Roman"/>
          <w:sz w:val="28"/>
          <w:szCs w:val="28"/>
          <w:lang w:val="en-US" w:eastAsia="en-US"/>
        </w:rPr>
        <w:t>n</w:t>
      </w:r>
      <w:r w:rsidRPr="00012F54">
        <w:rPr>
          <w:rFonts w:ascii="Times New Roman" w:hAnsi="Times New Roman"/>
          <w:sz w:val="28"/>
          <w:szCs w:val="28"/>
          <w:lang w:eastAsia="en-US"/>
        </w:rPr>
        <w:t xml:space="preserve"> – кількістьтварин в групі</w:t>
      </w:r>
      <w:r w:rsidRPr="00012F54">
        <w:rPr>
          <w:rFonts w:ascii="Times New Roman" w:hAnsi="Times New Roman"/>
          <w:sz w:val="28"/>
          <w:szCs w:val="28"/>
          <w:lang w:val="uk-UA" w:eastAsia="en-US"/>
        </w:rPr>
        <w:t>.</w:t>
      </w:r>
    </w:p>
    <w:p w:rsidR="00012F54" w:rsidRPr="00763508" w:rsidRDefault="00012F54" w:rsidP="00012F54">
      <w:pPr>
        <w:shd w:val="clear" w:color="auto" w:fill="FFFFFF"/>
        <w:tabs>
          <w:tab w:val="left" w:pos="-1080"/>
          <w:tab w:val="left" w:pos="0"/>
        </w:tabs>
        <w:spacing w:after="0" w:line="360" w:lineRule="auto"/>
        <w:ind w:firstLine="284"/>
        <w:jc w:val="both"/>
        <w:rPr>
          <w:rFonts w:ascii="Times New Roman" w:hAnsi="Times New Roman"/>
          <w:sz w:val="28"/>
          <w:szCs w:val="28"/>
          <w:lang w:val="uk-UA"/>
        </w:rPr>
      </w:pPr>
    </w:p>
    <w:p w:rsidR="00012F54" w:rsidRPr="00012F54" w:rsidRDefault="00012F54" w:rsidP="00B065B6">
      <w:pPr>
        <w:shd w:val="clear" w:color="auto" w:fill="FFFFFF"/>
        <w:tabs>
          <w:tab w:val="left" w:pos="-1080"/>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Із літературних даних відомо, що активність енолази, починаючи з перших годин судинно-мозкової катастрофи, має тісний кореляційний зв'язок із летальністю (виживаністю) та неврологічним статусом (неврологічним дефіцитом) [149–151]. Чим вища активність NSE, тим важче перебігає інсульт, тим серйозніший прогноз у такому випадку (висока смертність, тривалі строки госпіталізації, значна інвалідизація).</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Моніторинг активності NSE у щурів із САК ІІ-ої групи показав, що на другу добу після моделювання інсульту (критичний період), рівень енолазної активності достеменно виріс відносно тотожного показника у псевдооперованих тварин в середньому у 24,94 рази, що вказує на явище </w:t>
      </w:r>
      <w:r w:rsidR="007B7719">
        <w:rPr>
          <w:rFonts w:ascii="Times New Roman" w:hAnsi="Times New Roman"/>
          <w:sz w:val="28"/>
          <w:szCs w:val="28"/>
          <w:lang w:val="uk-UA"/>
        </w:rPr>
        <w:t xml:space="preserve">нейродеструкції, таб 3.3 </w:t>
      </w:r>
    </w:p>
    <w:p w:rsidR="00012F54" w:rsidRPr="00012F54" w:rsidRDefault="00012F54" w:rsidP="00B065B6">
      <w:pPr>
        <w:widowControl w:val="0"/>
        <w:tabs>
          <w:tab w:val="left" w:pos="36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Останнє добре співвідноситься із тим, що за показником летальності цей період є критичним у розвитку САК, а смертність перейшла позначку у 50 %.</w:t>
      </w:r>
    </w:p>
    <w:p w:rsid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Зменшення кількості введеної у підпавутинний простір аутокрові, закономірно знайшло своє віддзеркалення у деескалації активності енолази в сироватці крові щурів із моделлю САК. Так, регрес такого об’єму до 0,07 мл/кг, супроводжувався </w:t>
      </w:r>
      <w:r w:rsidRPr="00012F54">
        <w:rPr>
          <w:rFonts w:ascii="Times New Roman" w:hAnsi="Times New Roman"/>
          <w:sz w:val="28"/>
          <w:szCs w:val="28"/>
          <w:lang w:val="uk-UA"/>
        </w:rPr>
        <w:lastRenderedPageBreak/>
        <w:t xml:space="preserve">вірогідними змінами досліджуваного нейромаркера у критичний період експерименту, коли, його активність знизилась відносно ІІ-ої групи в середньому у 1,48 рази, р&lt;0,05. </w:t>
      </w:r>
    </w:p>
    <w:p w:rsidR="00012F54" w:rsidRDefault="00012F54" w:rsidP="00012F54">
      <w:pPr>
        <w:pStyle w:val="2"/>
        <w:ind w:firstLine="284"/>
        <w:jc w:val="right"/>
        <w:rPr>
          <w:rFonts w:ascii="Times New Roman" w:hAnsi="Times New Roman" w:cs="Times New Roman"/>
          <w:color w:val="auto"/>
          <w:szCs w:val="28"/>
          <w:lang w:val="uk-UA"/>
        </w:rPr>
      </w:pPr>
      <w:r w:rsidRPr="00012F54">
        <w:rPr>
          <w:rFonts w:ascii="Times New Roman" w:hAnsi="Times New Roman" w:cs="Times New Roman"/>
          <w:color w:val="auto"/>
          <w:szCs w:val="28"/>
          <w:lang w:val="uk-UA"/>
        </w:rPr>
        <w:t>Таблиця 3.3</w:t>
      </w:r>
    </w:p>
    <w:p w:rsidR="00336094" w:rsidRPr="00336094" w:rsidRDefault="00336094" w:rsidP="00336094">
      <w:pPr>
        <w:rPr>
          <w:lang w:val="uk-UA"/>
        </w:rPr>
      </w:pPr>
    </w:p>
    <w:p w:rsidR="00012F54" w:rsidRPr="00012F54" w:rsidRDefault="00012F54" w:rsidP="005E2397">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Залежність активності нейрон-специфічної енолази</w:t>
      </w:r>
    </w:p>
    <w:p w:rsidR="00012F54" w:rsidRPr="00012F54" w:rsidRDefault="00012F54" w:rsidP="005E2397">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у щурів із модельним субарахноїдальним крововиливом</w:t>
      </w:r>
    </w:p>
    <w:p w:rsidR="00012F54" w:rsidRPr="00012F54" w:rsidRDefault="00012F54" w:rsidP="005E2397">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від об’єму крові введеній у підпавутинний простір</w:t>
      </w:r>
    </w:p>
    <w:p w:rsidR="00012F54" w:rsidRDefault="00012F54" w:rsidP="005E2397">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(48 год експерименту, критичний період), M±m, n=7</w:t>
      </w:r>
    </w:p>
    <w:p w:rsidR="00763508" w:rsidRPr="00012F54" w:rsidRDefault="00763508" w:rsidP="005E2397">
      <w:pPr>
        <w:widowControl w:val="0"/>
        <w:spacing w:after="0" w:line="360" w:lineRule="auto"/>
        <w:ind w:firstLine="284"/>
        <w:jc w:val="center"/>
        <w:rPr>
          <w:rFonts w:ascii="Times New Roman" w:hAnsi="Times New Roman"/>
          <w:sz w:val="28"/>
          <w:szCs w:val="28"/>
          <w:lang w:val="uk-U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6095"/>
      </w:tblGrid>
      <w:tr w:rsidR="00012F54" w:rsidRPr="00012F54" w:rsidTr="00EF08E1">
        <w:trPr>
          <w:trHeight w:val="501"/>
          <w:jc w:val="center"/>
        </w:trPr>
        <w:tc>
          <w:tcPr>
            <w:tcW w:w="1134" w:type="dxa"/>
            <w:vAlign w:val="center"/>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Групи</w:t>
            </w:r>
          </w:p>
        </w:tc>
        <w:tc>
          <w:tcPr>
            <w:tcW w:w="6095" w:type="dxa"/>
            <w:vAlign w:val="center"/>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Активність нейрон-специфічної енолази, нг/мл</w:t>
            </w:r>
          </w:p>
        </w:tc>
      </w:tr>
      <w:tr w:rsidR="00012F54" w:rsidRPr="00012F54" w:rsidTr="00EF08E1">
        <w:trPr>
          <w:trHeight w:val="255"/>
          <w:jc w:val="center"/>
        </w:trPr>
        <w:tc>
          <w:tcPr>
            <w:tcW w:w="1134" w:type="dxa"/>
            <w:vAlign w:val="center"/>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І</w:t>
            </w:r>
          </w:p>
        </w:tc>
        <w:tc>
          <w:tcPr>
            <w:tcW w:w="6095" w:type="dxa"/>
            <w:vAlign w:val="center"/>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0,196±0,011</w:t>
            </w:r>
          </w:p>
        </w:tc>
      </w:tr>
      <w:tr w:rsidR="00012F54" w:rsidRPr="00012F54" w:rsidTr="00EF08E1">
        <w:trPr>
          <w:trHeight w:val="255"/>
          <w:jc w:val="center"/>
        </w:trPr>
        <w:tc>
          <w:tcPr>
            <w:tcW w:w="1134" w:type="dxa"/>
            <w:vAlign w:val="center"/>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ІІ</w:t>
            </w:r>
          </w:p>
        </w:tc>
        <w:tc>
          <w:tcPr>
            <w:tcW w:w="6095" w:type="dxa"/>
            <w:vAlign w:val="center"/>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4,889±0,139º*</w:t>
            </w:r>
            <w:r w:rsidRPr="00012F54">
              <w:rPr>
                <w:rFonts w:ascii="Times New Roman" w:hAnsi="Times New Roman"/>
                <w:sz w:val="28"/>
                <w:szCs w:val="28"/>
                <w:vertAlign w:val="superscript"/>
                <w:lang w:val="uk-UA"/>
              </w:rPr>
              <w:t>#</w:t>
            </w:r>
          </w:p>
        </w:tc>
      </w:tr>
      <w:tr w:rsidR="00012F54" w:rsidRPr="00012F54" w:rsidTr="00EF08E1">
        <w:trPr>
          <w:trHeight w:val="245"/>
          <w:jc w:val="center"/>
        </w:trPr>
        <w:tc>
          <w:tcPr>
            <w:tcW w:w="1134" w:type="dxa"/>
            <w:vAlign w:val="center"/>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ІІІ</w:t>
            </w:r>
          </w:p>
        </w:tc>
        <w:tc>
          <w:tcPr>
            <w:tcW w:w="6095" w:type="dxa"/>
            <w:vAlign w:val="center"/>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3,313±0,092º</w:t>
            </w:r>
            <w:r w:rsidRPr="00012F54">
              <w:rPr>
                <w:rFonts w:ascii="Times New Roman" w:hAnsi="Times New Roman"/>
                <w:sz w:val="28"/>
                <w:szCs w:val="28"/>
                <w:vertAlign w:val="superscript"/>
                <w:lang w:val="uk-UA"/>
              </w:rPr>
              <w:t>#</w:t>
            </w:r>
          </w:p>
        </w:tc>
      </w:tr>
      <w:tr w:rsidR="00012F54" w:rsidRPr="00012F54" w:rsidTr="00EF08E1">
        <w:trPr>
          <w:trHeight w:val="255"/>
          <w:jc w:val="center"/>
        </w:trPr>
        <w:tc>
          <w:tcPr>
            <w:tcW w:w="1134" w:type="dxa"/>
            <w:vAlign w:val="center"/>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ІV</w:t>
            </w:r>
          </w:p>
        </w:tc>
        <w:tc>
          <w:tcPr>
            <w:tcW w:w="6095" w:type="dxa"/>
            <w:vAlign w:val="center"/>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2,259±0,084º</w:t>
            </w:r>
          </w:p>
        </w:tc>
      </w:tr>
    </w:tbl>
    <w:p w:rsidR="00012F54" w:rsidRPr="00E93435" w:rsidRDefault="00012F54" w:rsidP="00012F54">
      <w:pPr>
        <w:widowControl w:val="0"/>
        <w:spacing w:after="0" w:line="240" w:lineRule="auto"/>
        <w:ind w:firstLine="284"/>
        <w:jc w:val="center"/>
        <w:rPr>
          <w:rFonts w:ascii="Times New Roman" w:hAnsi="Times New Roman"/>
          <w:sz w:val="16"/>
          <w:szCs w:val="16"/>
          <w:lang w:val="uk-UA"/>
        </w:rPr>
      </w:pPr>
    </w:p>
    <w:p w:rsidR="00012F54" w:rsidRDefault="00012F54" w:rsidP="007342CD">
      <w:pPr>
        <w:widowControl w:val="0"/>
        <w:tabs>
          <w:tab w:val="left" w:pos="1080"/>
        </w:tabs>
        <w:spacing w:after="0" w:line="360" w:lineRule="auto"/>
        <w:ind w:firstLine="709"/>
        <w:jc w:val="both"/>
        <w:rPr>
          <w:rFonts w:ascii="Times New Roman" w:hAnsi="Times New Roman"/>
          <w:sz w:val="28"/>
          <w:szCs w:val="28"/>
          <w:lang w:val="uk-UA"/>
        </w:rPr>
      </w:pPr>
      <w:r w:rsidRPr="00012F54">
        <w:rPr>
          <w:rFonts w:ascii="Times New Roman" w:hAnsi="Times New Roman"/>
          <w:sz w:val="28"/>
          <w:szCs w:val="28"/>
          <w:lang w:val="uk-UA"/>
        </w:rPr>
        <w:t xml:space="preserve">Примітки: </w:t>
      </w:r>
    </w:p>
    <w:p w:rsidR="00E93435" w:rsidRPr="00763508" w:rsidRDefault="00E93435" w:rsidP="007342CD">
      <w:pPr>
        <w:widowControl w:val="0"/>
        <w:tabs>
          <w:tab w:val="left" w:pos="1080"/>
        </w:tabs>
        <w:spacing w:after="0" w:line="360" w:lineRule="auto"/>
        <w:ind w:firstLine="709"/>
        <w:jc w:val="both"/>
        <w:rPr>
          <w:rFonts w:ascii="Times New Roman" w:hAnsi="Times New Roman"/>
          <w:sz w:val="28"/>
          <w:szCs w:val="28"/>
          <w:lang w:val="uk-UA"/>
        </w:rPr>
      </w:pPr>
    </w:p>
    <w:p w:rsidR="00012F54" w:rsidRPr="00012F54" w:rsidRDefault="00012F54" w:rsidP="00012F54">
      <w:pPr>
        <w:pStyle w:val="a5"/>
        <w:widowControl w:val="0"/>
        <w:numPr>
          <w:ilvl w:val="0"/>
          <w:numId w:val="10"/>
        </w:numPr>
        <w:tabs>
          <w:tab w:val="left" w:pos="709"/>
        </w:tabs>
        <w:spacing w:after="0" w:line="360" w:lineRule="auto"/>
        <w:ind w:left="851" w:firstLine="284"/>
        <w:jc w:val="both"/>
        <w:rPr>
          <w:rFonts w:ascii="Times New Roman" w:hAnsi="Times New Roman"/>
          <w:sz w:val="28"/>
          <w:szCs w:val="28"/>
          <w:lang w:val="uk-UA"/>
        </w:rPr>
      </w:pPr>
      <w:r w:rsidRPr="00012F54">
        <w:rPr>
          <w:rFonts w:ascii="Times New Roman" w:hAnsi="Times New Roman"/>
          <w:sz w:val="28"/>
          <w:szCs w:val="28"/>
          <w:lang w:val="uk-UA"/>
        </w:rPr>
        <w:t>º – р&lt;0,05 відносно І</w:t>
      </w:r>
      <w:r w:rsidRPr="00012F54">
        <w:rPr>
          <w:rFonts w:ascii="Times New Roman" w:hAnsi="Times New Roman"/>
          <w:sz w:val="28"/>
          <w:szCs w:val="28"/>
          <w:vertAlign w:val="subscript"/>
          <w:lang w:val="uk-UA"/>
        </w:rPr>
        <w:t>САК</w:t>
      </w:r>
      <w:r w:rsidRPr="00012F54">
        <w:rPr>
          <w:rFonts w:ascii="Times New Roman" w:hAnsi="Times New Roman"/>
          <w:sz w:val="28"/>
          <w:szCs w:val="28"/>
          <w:lang w:val="uk-UA"/>
        </w:rPr>
        <w:t>-ої групи;</w:t>
      </w:r>
    </w:p>
    <w:p w:rsidR="00012F54" w:rsidRPr="00012F54" w:rsidRDefault="00012F54" w:rsidP="00012F54">
      <w:pPr>
        <w:pStyle w:val="a5"/>
        <w:widowControl w:val="0"/>
        <w:numPr>
          <w:ilvl w:val="0"/>
          <w:numId w:val="10"/>
        </w:numPr>
        <w:spacing w:after="0" w:line="360" w:lineRule="auto"/>
        <w:ind w:left="851" w:firstLine="284"/>
        <w:jc w:val="both"/>
        <w:rPr>
          <w:rFonts w:ascii="Times New Roman" w:hAnsi="Times New Roman"/>
          <w:sz w:val="28"/>
          <w:szCs w:val="28"/>
          <w:lang w:val="uk-UA"/>
        </w:rPr>
      </w:pPr>
      <w:r w:rsidRPr="00012F54">
        <w:rPr>
          <w:rFonts w:ascii="Times New Roman" w:hAnsi="Times New Roman"/>
          <w:sz w:val="28"/>
          <w:szCs w:val="28"/>
          <w:lang w:val="uk-UA"/>
        </w:rPr>
        <w:t>* – р&lt;0,05 відносно ІІІ</w:t>
      </w:r>
      <w:r w:rsidRPr="00012F54">
        <w:rPr>
          <w:rFonts w:ascii="Times New Roman" w:hAnsi="Times New Roman"/>
          <w:sz w:val="28"/>
          <w:szCs w:val="28"/>
          <w:vertAlign w:val="subscript"/>
          <w:lang w:val="uk-UA"/>
        </w:rPr>
        <w:t>САК</w:t>
      </w:r>
      <w:r w:rsidRPr="00012F54">
        <w:rPr>
          <w:rFonts w:ascii="Times New Roman" w:hAnsi="Times New Roman"/>
          <w:sz w:val="28"/>
          <w:szCs w:val="28"/>
          <w:lang w:val="uk-UA"/>
        </w:rPr>
        <w:t>-ої групи;</w:t>
      </w:r>
    </w:p>
    <w:p w:rsidR="00012F54" w:rsidRPr="00012F54" w:rsidRDefault="00012F54" w:rsidP="00012F54">
      <w:pPr>
        <w:pStyle w:val="a5"/>
        <w:widowControl w:val="0"/>
        <w:numPr>
          <w:ilvl w:val="0"/>
          <w:numId w:val="10"/>
        </w:numPr>
        <w:spacing w:after="0" w:line="360" w:lineRule="auto"/>
        <w:ind w:left="851" w:firstLine="284"/>
        <w:jc w:val="both"/>
        <w:rPr>
          <w:rFonts w:ascii="Times New Roman" w:hAnsi="Times New Roman"/>
          <w:sz w:val="28"/>
          <w:szCs w:val="28"/>
          <w:lang w:val="uk-UA"/>
        </w:rPr>
      </w:pPr>
      <w:r w:rsidRPr="00012F54">
        <w:rPr>
          <w:rFonts w:ascii="Times New Roman" w:hAnsi="Times New Roman"/>
          <w:sz w:val="28"/>
          <w:szCs w:val="28"/>
          <w:vertAlign w:val="superscript"/>
          <w:lang w:val="uk-UA"/>
        </w:rPr>
        <w:t xml:space="preserve"># </w:t>
      </w:r>
      <w:r w:rsidRPr="00012F54">
        <w:rPr>
          <w:rFonts w:ascii="Times New Roman" w:hAnsi="Times New Roman"/>
          <w:sz w:val="28"/>
          <w:szCs w:val="28"/>
          <w:lang w:val="uk-UA"/>
        </w:rPr>
        <w:t>– р&lt;0,05 відносно ІV</w:t>
      </w:r>
      <w:r w:rsidRPr="00012F54">
        <w:rPr>
          <w:rFonts w:ascii="Times New Roman" w:hAnsi="Times New Roman"/>
          <w:sz w:val="28"/>
          <w:szCs w:val="28"/>
          <w:vertAlign w:val="subscript"/>
          <w:lang w:val="uk-UA"/>
        </w:rPr>
        <w:t>САК</w:t>
      </w:r>
      <w:r w:rsidRPr="00012F54">
        <w:rPr>
          <w:rFonts w:ascii="Times New Roman" w:hAnsi="Times New Roman"/>
          <w:sz w:val="28"/>
          <w:szCs w:val="28"/>
          <w:lang w:val="uk-UA"/>
        </w:rPr>
        <w:t>-ої групи;</w:t>
      </w:r>
    </w:p>
    <w:p w:rsidR="00012F54" w:rsidRPr="00012F54" w:rsidRDefault="00012F54" w:rsidP="00012F54">
      <w:pPr>
        <w:pStyle w:val="a5"/>
        <w:widowControl w:val="0"/>
        <w:numPr>
          <w:ilvl w:val="0"/>
          <w:numId w:val="10"/>
        </w:numPr>
        <w:spacing w:after="0" w:line="360" w:lineRule="auto"/>
        <w:ind w:left="851" w:firstLine="284"/>
        <w:jc w:val="both"/>
        <w:rPr>
          <w:rFonts w:ascii="Times New Roman" w:hAnsi="Times New Roman"/>
          <w:sz w:val="28"/>
          <w:szCs w:val="28"/>
          <w:lang w:val="uk-UA"/>
        </w:rPr>
      </w:pPr>
      <w:r w:rsidRPr="00012F54">
        <w:rPr>
          <w:rFonts w:ascii="Times New Roman" w:hAnsi="Times New Roman"/>
          <w:sz w:val="28"/>
          <w:szCs w:val="28"/>
          <w:lang w:val="en-US" w:eastAsia="en-US"/>
        </w:rPr>
        <w:t>n</w:t>
      </w:r>
      <w:r w:rsidRPr="00012F54">
        <w:rPr>
          <w:rFonts w:ascii="Times New Roman" w:hAnsi="Times New Roman"/>
          <w:sz w:val="28"/>
          <w:szCs w:val="28"/>
          <w:lang w:eastAsia="en-US"/>
        </w:rPr>
        <w:t xml:space="preserve"> – кількістьтварин в групі</w:t>
      </w:r>
      <w:r w:rsidRPr="00012F54">
        <w:rPr>
          <w:rFonts w:ascii="Times New Roman" w:hAnsi="Times New Roman"/>
          <w:sz w:val="28"/>
          <w:szCs w:val="28"/>
          <w:lang w:val="uk-UA" w:eastAsia="en-US"/>
        </w:rPr>
        <w:t>.</w:t>
      </w:r>
    </w:p>
    <w:p w:rsidR="00012F54" w:rsidRPr="00E93435" w:rsidRDefault="00012F54" w:rsidP="00012F54">
      <w:pPr>
        <w:widowControl w:val="0"/>
        <w:spacing w:after="0" w:line="360" w:lineRule="auto"/>
        <w:ind w:firstLine="284"/>
        <w:jc w:val="both"/>
        <w:rPr>
          <w:rFonts w:ascii="Times New Roman" w:hAnsi="Times New Roman"/>
          <w:sz w:val="16"/>
          <w:szCs w:val="16"/>
          <w:lang w:val="uk-UA"/>
        </w:rPr>
      </w:pP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Подальше зменшення об’єму введеної у підпавутинний простір аутокрові ще на 0,02 мл до 0,05 мл/кг, призвело до зменшення сироваткової енолазної активності у тварин із САК відносно ІІІ-ої групи ще в середньому у 1,47 рази, р&gt;0,05.</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Таким чином, за активністю нейрон-специфічної енолази, можна зробити висновок, стосовно можливої класифікації ступеня важкості САК, який зростає від легкого до тяжкого в залежності від об’єму крові введеній у підпавутинний простір, відповідно від 0,05 до 0,1 мл, що вже було проілюстровано у табл. 3.2.</w:t>
      </w:r>
    </w:p>
    <w:p w:rsidR="00012F54" w:rsidRPr="00012F54" w:rsidRDefault="00012F54" w:rsidP="00B065B6">
      <w:pPr>
        <w:widowControl w:val="0"/>
        <w:tabs>
          <w:tab w:val="left" w:pos="1276"/>
          <w:tab w:val="left" w:pos="1701"/>
        </w:tabs>
        <w:spacing w:after="0" w:line="360" w:lineRule="auto"/>
        <w:ind w:firstLine="284"/>
        <w:jc w:val="both"/>
        <w:rPr>
          <w:rFonts w:ascii="Times New Roman" w:hAnsi="Times New Roman"/>
          <w:b/>
          <w:sz w:val="28"/>
          <w:szCs w:val="28"/>
          <w:lang w:val="uk-UA"/>
        </w:rPr>
      </w:pPr>
      <w:r w:rsidRPr="00012F54">
        <w:rPr>
          <w:rFonts w:ascii="Times New Roman" w:hAnsi="Times New Roman"/>
          <w:sz w:val="28"/>
          <w:szCs w:val="28"/>
          <w:lang w:val="uk-UA"/>
        </w:rPr>
        <w:t xml:space="preserve">У критичний період експерименту, аналізуючи залежність активності NSE від об’єму крові введеній у підпавутинний простір, для наглядної демонстрації </w:t>
      </w:r>
      <w:r w:rsidRPr="00012F54">
        <w:rPr>
          <w:rFonts w:ascii="Times New Roman" w:hAnsi="Times New Roman"/>
          <w:sz w:val="28"/>
          <w:szCs w:val="28"/>
          <w:lang w:val="uk-UA"/>
        </w:rPr>
        <w:lastRenderedPageBreak/>
        <w:t xml:space="preserve">класифікації ступеня важкості САК, доцільним є побудова варіаційного ряду, в якому той об’єм аутокрові призводить до важчого ступеня інсульту, який знаходиться далі до значень ферменту у групі псевдооперованих тварин. </w:t>
      </w:r>
      <w:r w:rsidR="007B7719">
        <w:rPr>
          <w:rFonts w:ascii="Times New Roman" w:hAnsi="Times New Roman"/>
          <w:sz w:val="28"/>
          <w:szCs w:val="28"/>
          <w:lang w:val="uk-UA"/>
        </w:rPr>
        <w:t xml:space="preserve">  В</w:t>
      </w:r>
      <w:r w:rsidRPr="00012F54">
        <w:rPr>
          <w:rFonts w:ascii="Times New Roman" w:hAnsi="Times New Roman"/>
          <w:sz w:val="28"/>
          <w:szCs w:val="28"/>
          <w:lang w:val="uk-UA"/>
        </w:rPr>
        <w:t>аріаційний ряд виглядає наступним чином: псевдооперовані щури &gt;</w:t>
      </w:r>
      <w:r w:rsidRPr="00012F54">
        <w:rPr>
          <w:rFonts w:ascii="Times New Roman" w:eastAsia="TimesNewRomanPSMT" w:hAnsi="Times New Roman"/>
          <w:sz w:val="28"/>
          <w:szCs w:val="28"/>
          <w:lang w:val="uk-UA"/>
        </w:rPr>
        <w:t>0,07 мл/кг</w:t>
      </w:r>
      <w:r w:rsidRPr="00012F54">
        <w:rPr>
          <w:rFonts w:ascii="Times New Roman" w:hAnsi="Times New Roman"/>
          <w:sz w:val="28"/>
          <w:szCs w:val="28"/>
          <w:lang w:val="uk-UA"/>
        </w:rPr>
        <w:t xml:space="preserve"> (ІІІ-тя група, САК легкого ступеня важкості) &gt;</w:t>
      </w:r>
      <w:r w:rsidRPr="00012F54">
        <w:rPr>
          <w:rFonts w:ascii="Times New Roman" w:eastAsia="TimesNewRomanPSMT" w:hAnsi="Times New Roman"/>
          <w:sz w:val="28"/>
          <w:szCs w:val="28"/>
          <w:lang w:val="uk-UA"/>
        </w:rPr>
        <w:t>0,05 мл/кг (</w:t>
      </w:r>
      <w:r w:rsidRPr="00012F54">
        <w:rPr>
          <w:rFonts w:ascii="Times New Roman" w:hAnsi="Times New Roman"/>
          <w:sz w:val="28"/>
          <w:szCs w:val="28"/>
          <w:lang w:val="uk-UA"/>
        </w:rPr>
        <w:t>ІV-та група, САК середнього ступеня важкості) &gt;</w:t>
      </w:r>
      <w:r w:rsidRPr="00012F54">
        <w:rPr>
          <w:rFonts w:ascii="Times New Roman" w:eastAsia="TimesNewRomanPSMT" w:hAnsi="Times New Roman"/>
          <w:sz w:val="28"/>
          <w:szCs w:val="28"/>
          <w:lang w:val="uk-UA"/>
        </w:rPr>
        <w:t>0,1 мл/кг (ІІ-га група, САК тяжкого ступеня важкості).</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Для повноцінної апробації такої моделі САК та класифікації ступенів її в</w:t>
      </w:r>
      <w:r w:rsidR="007B7719">
        <w:rPr>
          <w:rFonts w:ascii="Times New Roman" w:hAnsi="Times New Roman"/>
          <w:sz w:val="28"/>
          <w:szCs w:val="28"/>
          <w:lang w:val="uk-UA"/>
        </w:rPr>
        <w:t>ажкості в залежності від об’єму аутокрові</w:t>
      </w:r>
      <w:r w:rsidRPr="00012F54">
        <w:rPr>
          <w:rFonts w:ascii="Times New Roman" w:hAnsi="Times New Roman"/>
          <w:sz w:val="28"/>
          <w:szCs w:val="28"/>
          <w:lang w:val="uk-UA"/>
        </w:rPr>
        <w:t xml:space="preserve">, було доцільним, поряд із характеристикою виживаності тварин та енолазною активністю, дати оцінку змінам неврологічного статусу (дефіциту) щурів у критичний період експерименту (48 год). </w:t>
      </w:r>
    </w:p>
    <w:p w:rsid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Проведене дослідження показало, що значній летальності щурів із САК ІІ-ої групи відповідав важкий неврологічний дефіцит, оцінений в балах за шкалою С.Р. McGraw. У псевдооперованих тварин неврологічний статус без змін, що співпадає із </w:t>
      </w:r>
      <w:r w:rsidR="007B7719">
        <w:rPr>
          <w:rFonts w:ascii="Times New Roman" w:hAnsi="Times New Roman"/>
          <w:sz w:val="28"/>
          <w:szCs w:val="28"/>
          <w:lang w:val="uk-UA"/>
        </w:rPr>
        <w:t xml:space="preserve"> стовідсотковою </w:t>
      </w:r>
      <w:r w:rsidRPr="00012F54">
        <w:rPr>
          <w:rFonts w:ascii="Times New Roman" w:hAnsi="Times New Roman"/>
          <w:sz w:val="28"/>
          <w:szCs w:val="28"/>
          <w:lang w:val="uk-UA"/>
        </w:rPr>
        <w:t xml:space="preserve">виживаністю. На противагу цьому, у щурів ІІ-ої групи 60-ти % летальності відповідав неврологічний дефіцит тяжкого ступеня важкості, який в балах в середньому становив 11,93 бали (табл. 3.4). </w:t>
      </w:r>
    </w:p>
    <w:p w:rsidR="00763508" w:rsidRPr="00012F54" w:rsidRDefault="00763508" w:rsidP="00763508">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Зменшення кількості введеної у підпавутинний простір аутокрові, закономірно знайшло своє віддзеркалення у деескалації неврологічного дефіцитуза шкалою С.Р. McGraw. Так, регрес такого об’єму до 0,07 мл/кг, супроводжувався вірогідними зменшенням середньою суми балів до 6,53±0,33, що у 1,83 рази менше ніж в аналогічний період у ІІ-ій групі щурів із САК при р&lt;0,05, і відповідає неврологічному статусу середнього ступеня важкості. </w:t>
      </w:r>
    </w:p>
    <w:p w:rsidR="00763508" w:rsidRDefault="00763508" w:rsidP="00763508">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Подальше зменшення об’єму введеної у підпавутинний простір аутокрові ще на 0,02 мл до 0,05 мл/кг, призвело до додаткового вірогідного зменшення неврологічного дефіциту у тварин із САК відносно ІІІ-ої групи ще в середньому на 22,4 %, р&gt;0,05, і відповідає неврологічному статусу легкого ступеня важкості.</w:t>
      </w:r>
    </w:p>
    <w:p w:rsidR="00763508" w:rsidRDefault="00763508"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В критичний період експерименту, аналізуючи залежність зменшення неврологічного дефіциту у тварин із САК від об’єму крові введеній у підпавутинний простір, для наглядної демонстрації класифікації ступеня важкості САК, як і для попередніх критеріїв, доцільним є побудова варіаційного ряду, в якому той об’єм аутокрові призводить до важчого ступеня інсульту, який знаходиться далі до </w:t>
      </w:r>
      <w:r w:rsidRPr="00012F54">
        <w:rPr>
          <w:rFonts w:ascii="Times New Roman" w:hAnsi="Times New Roman"/>
          <w:sz w:val="28"/>
          <w:szCs w:val="28"/>
          <w:lang w:val="uk-UA"/>
        </w:rPr>
        <w:lastRenderedPageBreak/>
        <w:t>значень ферменту у групі псевдооперованих тварин.</w:t>
      </w:r>
    </w:p>
    <w:p w:rsidR="00012F54" w:rsidRDefault="00012F54" w:rsidP="00012F54">
      <w:pPr>
        <w:widowControl w:val="0"/>
        <w:spacing w:after="0" w:line="360" w:lineRule="auto"/>
        <w:ind w:firstLine="284"/>
        <w:jc w:val="right"/>
        <w:rPr>
          <w:rFonts w:ascii="Times New Roman" w:hAnsi="Times New Roman"/>
          <w:sz w:val="28"/>
          <w:szCs w:val="28"/>
          <w:lang w:val="uk-UA"/>
        </w:rPr>
      </w:pPr>
      <w:r w:rsidRPr="00012F54">
        <w:rPr>
          <w:rFonts w:ascii="Times New Roman" w:hAnsi="Times New Roman"/>
          <w:sz w:val="28"/>
          <w:szCs w:val="28"/>
          <w:lang w:val="uk-UA"/>
        </w:rPr>
        <w:t>Таблиця 3.4</w:t>
      </w:r>
    </w:p>
    <w:p w:rsidR="00E93435" w:rsidRPr="00E93435" w:rsidRDefault="00E93435" w:rsidP="00012F54">
      <w:pPr>
        <w:widowControl w:val="0"/>
        <w:spacing w:after="0" w:line="360" w:lineRule="auto"/>
        <w:ind w:firstLine="284"/>
        <w:jc w:val="right"/>
        <w:rPr>
          <w:rFonts w:ascii="Times New Roman" w:hAnsi="Times New Roman"/>
          <w:sz w:val="16"/>
          <w:szCs w:val="16"/>
          <w:lang w:val="uk-UA"/>
        </w:rPr>
      </w:pP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Залежність неврологічного дефіцитуза шкалою С.Р. McGraw</w:t>
      </w: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 xml:space="preserve">у щурів із субарахноїдальним крововиливом у критичний період інсульту </w:t>
      </w: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від об’єму крові введеній у підпавутинний простір</w:t>
      </w:r>
    </w:p>
    <w:p w:rsid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(48 год експерименту, критичний період), M±m (n=7)</w:t>
      </w:r>
    </w:p>
    <w:p w:rsidR="00763508" w:rsidRPr="00012F54" w:rsidRDefault="00763508" w:rsidP="00012F54">
      <w:pPr>
        <w:widowControl w:val="0"/>
        <w:spacing w:after="0" w:line="360" w:lineRule="auto"/>
        <w:ind w:firstLine="284"/>
        <w:jc w:val="center"/>
        <w:rPr>
          <w:rFonts w:ascii="Times New Roman" w:hAnsi="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4536"/>
      </w:tblGrid>
      <w:tr w:rsidR="00012F54" w:rsidRPr="00012F54" w:rsidTr="00012F54">
        <w:trPr>
          <w:trHeight w:val="413"/>
          <w:jc w:val="center"/>
        </w:trPr>
        <w:tc>
          <w:tcPr>
            <w:tcW w:w="2263" w:type="dxa"/>
            <w:vAlign w:val="center"/>
          </w:tcPr>
          <w:p w:rsidR="00012F54" w:rsidRPr="00012F54" w:rsidRDefault="00012F54" w:rsidP="00D17BD3">
            <w:pPr>
              <w:widowControl w:val="0"/>
              <w:spacing w:before="60" w:after="60" w:line="24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Групи</w:t>
            </w:r>
          </w:p>
        </w:tc>
        <w:tc>
          <w:tcPr>
            <w:tcW w:w="4536" w:type="dxa"/>
            <w:vAlign w:val="center"/>
          </w:tcPr>
          <w:p w:rsidR="00012F54" w:rsidRPr="00012F54" w:rsidRDefault="00012F54" w:rsidP="00D17BD3">
            <w:pPr>
              <w:widowControl w:val="0"/>
              <w:spacing w:before="60" w:after="60" w:line="24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Бали за шкалою С.Р. McGraw</w:t>
            </w:r>
          </w:p>
        </w:tc>
      </w:tr>
      <w:tr w:rsidR="00012F54" w:rsidRPr="00012F54" w:rsidTr="00012F54">
        <w:trPr>
          <w:jc w:val="center"/>
        </w:trPr>
        <w:tc>
          <w:tcPr>
            <w:tcW w:w="2263" w:type="dxa"/>
            <w:vAlign w:val="center"/>
          </w:tcPr>
          <w:p w:rsidR="00012F54" w:rsidRPr="00012F54" w:rsidRDefault="00012F54" w:rsidP="00D17BD3">
            <w:pPr>
              <w:widowControl w:val="0"/>
              <w:spacing w:before="60" w:after="60" w:line="240" w:lineRule="auto"/>
              <w:ind w:firstLine="284"/>
              <w:rPr>
                <w:rFonts w:ascii="Times New Roman" w:hAnsi="Times New Roman"/>
                <w:sz w:val="28"/>
                <w:szCs w:val="28"/>
                <w:lang w:val="uk-UA"/>
              </w:rPr>
            </w:pPr>
            <w:r w:rsidRPr="00012F54">
              <w:rPr>
                <w:rFonts w:ascii="Times New Roman" w:hAnsi="Times New Roman"/>
                <w:sz w:val="28"/>
                <w:szCs w:val="28"/>
                <w:lang w:val="uk-UA"/>
              </w:rPr>
              <w:t>І</w:t>
            </w:r>
          </w:p>
        </w:tc>
        <w:tc>
          <w:tcPr>
            <w:tcW w:w="4536" w:type="dxa"/>
            <w:vAlign w:val="center"/>
          </w:tcPr>
          <w:p w:rsidR="00012F54" w:rsidRPr="00012F54" w:rsidRDefault="00012F54" w:rsidP="00D17BD3">
            <w:pPr>
              <w:widowControl w:val="0"/>
              <w:spacing w:before="60" w:after="60" w:line="240" w:lineRule="auto"/>
              <w:ind w:firstLine="284"/>
              <w:jc w:val="center"/>
              <w:rPr>
                <w:rFonts w:ascii="Times New Roman" w:hAnsi="Times New Roman"/>
                <w:sz w:val="28"/>
                <w:szCs w:val="28"/>
                <w:lang w:val="uk-UA"/>
              </w:rPr>
            </w:pPr>
            <w:r w:rsidRPr="00012F54">
              <w:rPr>
                <w:rFonts w:ascii="Times New Roman" w:hAnsi="Times New Roman"/>
                <w:sz w:val="28"/>
                <w:szCs w:val="28"/>
                <w:lang w:val="uk-UA"/>
              </w:rPr>
              <w:t>0,0±0,0</w:t>
            </w:r>
          </w:p>
        </w:tc>
      </w:tr>
      <w:tr w:rsidR="00012F54" w:rsidRPr="00012F54" w:rsidTr="00012F54">
        <w:trPr>
          <w:jc w:val="center"/>
        </w:trPr>
        <w:tc>
          <w:tcPr>
            <w:tcW w:w="2263" w:type="dxa"/>
            <w:vAlign w:val="center"/>
          </w:tcPr>
          <w:p w:rsidR="00012F54" w:rsidRPr="00012F54" w:rsidRDefault="00012F54" w:rsidP="00D17BD3">
            <w:pPr>
              <w:widowControl w:val="0"/>
              <w:spacing w:before="60" w:after="60" w:line="240" w:lineRule="auto"/>
              <w:ind w:firstLine="284"/>
              <w:rPr>
                <w:rFonts w:ascii="Times New Roman" w:hAnsi="Times New Roman"/>
                <w:sz w:val="28"/>
                <w:szCs w:val="28"/>
                <w:lang w:val="uk-UA"/>
              </w:rPr>
            </w:pPr>
            <w:r w:rsidRPr="00012F54">
              <w:rPr>
                <w:rFonts w:ascii="Times New Roman" w:hAnsi="Times New Roman"/>
                <w:sz w:val="28"/>
                <w:szCs w:val="28"/>
                <w:lang w:val="uk-UA"/>
              </w:rPr>
              <w:t>ІІ</w:t>
            </w:r>
          </w:p>
        </w:tc>
        <w:tc>
          <w:tcPr>
            <w:tcW w:w="4536" w:type="dxa"/>
            <w:vAlign w:val="center"/>
          </w:tcPr>
          <w:p w:rsidR="00012F54" w:rsidRPr="00012F54" w:rsidRDefault="00012F54" w:rsidP="00D17BD3">
            <w:pPr>
              <w:widowControl w:val="0"/>
              <w:spacing w:before="60" w:after="60" w:line="240" w:lineRule="auto"/>
              <w:ind w:firstLine="284"/>
              <w:jc w:val="center"/>
              <w:rPr>
                <w:rFonts w:ascii="Times New Roman" w:hAnsi="Times New Roman"/>
                <w:sz w:val="28"/>
                <w:szCs w:val="28"/>
                <w:lang w:val="uk-UA"/>
              </w:rPr>
            </w:pPr>
            <w:r w:rsidRPr="00012F54">
              <w:rPr>
                <w:rFonts w:ascii="Times New Roman" w:hAnsi="Times New Roman"/>
                <w:sz w:val="28"/>
                <w:szCs w:val="28"/>
                <w:lang w:val="uk-UA"/>
              </w:rPr>
              <w:t>11,93±0,33º*</w:t>
            </w:r>
            <w:r w:rsidRPr="00012F54">
              <w:rPr>
                <w:rFonts w:ascii="Times New Roman" w:hAnsi="Times New Roman"/>
                <w:sz w:val="28"/>
                <w:szCs w:val="28"/>
                <w:vertAlign w:val="superscript"/>
                <w:lang w:val="uk-UA"/>
              </w:rPr>
              <w:t>#</w:t>
            </w:r>
          </w:p>
        </w:tc>
      </w:tr>
      <w:tr w:rsidR="00012F54" w:rsidRPr="00012F54" w:rsidTr="00012F54">
        <w:trPr>
          <w:jc w:val="center"/>
        </w:trPr>
        <w:tc>
          <w:tcPr>
            <w:tcW w:w="2263" w:type="dxa"/>
            <w:tcBorders>
              <w:bottom w:val="single" w:sz="4" w:space="0" w:color="auto"/>
            </w:tcBorders>
            <w:vAlign w:val="center"/>
          </w:tcPr>
          <w:p w:rsidR="00012F54" w:rsidRPr="00012F54" w:rsidRDefault="00012F54" w:rsidP="00D17BD3">
            <w:pPr>
              <w:widowControl w:val="0"/>
              <w:spacing w:before="60" w:after="60" w:line="240" w:lineRule="auto"/>
              <w:ind w:firstLine="284"/>
              <w:rPr>
                <w:rFonts w:ascii="Times New Roman" w:hAnsi="Times New Roman"/>
                <w:sz w:val="28"/>
                <w:szCs w:val="28"/>
                <w:lang w:val="uk-UA"/>
              </w:rPr>
            </w:pPr>
            <w:r w:rsidRPr="00012F54">
              <w:rPr>
                <w:rFonts w:ascii="Times New Roman" w:hAnsi="Times New Roman"/>
                <w:sz w:val="28"/>
                <w:szCs w:val="28"/>
                <w:lang w:val="uk-UA"/>
              </w:rPr>
              <w:t>ІІІ</w:t>
            </w:r>
          </w:p>
        </w:tc>
        <w:tc>
          <w:tcPr>
            <w:tcW w:w="4536" w:type="dxa"/>
            <w:tcBorders>
              <w:bottom w:val="single" w:sz="4" w:space="0" w:color="auto"/>
            </w:tcBorders>
            <w:vAlign w:val="center"/>
          </w:tcPr>
          <w:p w:rsidR="00012F54" w:rsidRPr="00012F54" w:rsidRDefault="00012F54" w:rsidP="00D17BD3">
            <w:pPr>
              <w:widowControl w:val="0"/>
              <w:spacing w:before="60" w:after="60" w:line="240" w:lineRule="auto"/>
              <w:ind w:firstLine="284"/>
              <w:jc w:val="center"/>
              <w:rPr>
                <w:rFonts w:ascii="Times New Roman" w:hAnsi="Times New Roman"/>
                <w:sz w:val="28"/>
                <w:szCs w:val="28"/>
                <w:lang w:val="uk-UA"/>
              </w:rPr>
            </w:pPr>
            <w:r w:rsidRPr="00012F54">
              <w:rPr>
                <w:rFonts w:ascii="Times New Roman" w:hAnsi="Times New Roman"/>
                <w:sz w:val="28"/>
                <w:szCs w:val="28"/>
                <w:lang w:val="uk-UA"/>
              </w:rPr>
              <w:t>6,53±0,33º</w:t>
            </w:r>
            <w:r w:rsidRPr="00012F54">
              <w:rPr>
                <w:rFonts w:ascii="Times New Roman" w:hAnsi="Times New Roman"/>
                <w:sz w:val="28"/>
                <w:szCs w:val="28"/>
                <w:vertAlign w:val="superscript"/>
                <w:lang w:val="uk-UA"/>
              </w:rPr>
              <w:t>#</w:t>
            </w:r>
          </w:p>
        </w:tc>
      </w:tr>
      <w:tr w:rsidR="00012F54" w:rsidRPr="00012F54" w:rsidTr="00012F54">
        <w:trPr>
          <w:jc w:val="center"/>
        </w:trPr>
        <w:tc>
          <w:tcPr>
            <w:tcW w:w="2263" w:type="dxa"/>
            <w:tcBorders>
              <w:bottom w:val="single" w:sz="4" w:space="0" w:color="auto"/>
            </w:tcBorders>
            <w:vAlign w:val="center"/>
          </w:tcPr>
          <w:p w:rsidR="00012F54" w:rsidRPr="00012F54" w:rsidRDefault="00012F54" w:rsidP="00D17BD3">
            <w:pPr>
              <w:widowControl w:val="0"/>
              <w:spacing w:before="60" w:after="60" w:line="240" w:lineRule="auto"/>
              <w:ind w:firstLine="284"/>
              <w:rPr>
                <w:rFonts w:ascii="Times New Roman" w:hAnsi="Times New Roman"/>
                <w:sz w:val="28"/>
                <w:szCs w:val="28"/>
                <w:lang w:val="uk-UA"/>
              </w:rPr>
            </w:pPr>
            <w:r w:rsidRPr="00012F54">
              <w:rPr>
                <w:rFonts w:ascii="Times New Roman" w:hAnsi="Times New Roman"/>
                <w:sz w:val="28"/>
                <w:szCs w:val="28"/>
                <w:lang w:val="uk-UA"/>
              </w:rPr>
              <w:t>ІV</w:t>
            </w:r>
            <w:r w:rsidRPr="00012F54">
              <w:rPr>
                <w:rFonts w:ascii="Times New Roman" w:hAnsi="Times New Roman"/>
                <w:sz w:val="28"/>
                <w:szCs w:val="28"/>
                <w:vertAlign w:val="subscript"/>
                <w:lang w:val="uk-UA"/>
              </w:rPr>
              <w:t xml:space="preserve">САК </w:t>
            </w:r>
            <w:r w:rsidRPr="00012F54">
              <w:rPr>
                <w:rFonts w:ascii="Times New Roman" w:hAnsi="Times New Roman"/>
                <w:sz w:val="28"/>
                <w:szCs w:val="28"/>
                <w:lang w:val="uk-UA"/>
              </w:rPr>
              <w:t>(n=7)</w:t>
            </w:r>
          </w:p>
        </w:tc>
        <w:tc>
          <w:tcPr>
            <w:tcW w:w="4536" w:type="dxa"/>
            <w:tcBorders>
              <w:bottom w:val="single" w:sz="4" w:space="0" w:color="auto"/>
            </w:tcBorders>
            <w:vAlign w:val="center"/>
          </w:tcPr>
          <w:p w:rsidR="00012F54" w:rsidRPr="00012F54" w:rsidRDefault="00012F54" w:rsidP="00D17BD3">
            <w:pPr>
              <w:widowControl w:val="0"/>
              <w:spacing w:before="60" w:after="60" w:line="240" w:lineRule="auto"/>
              <w:ind w:firstLine="284"/>
              <w:jc w:val="center"/>
              <w:rPr>
                <w:rFonts w:ascii="Times New Roman" w:hAnsi="Times New Roman"/>
                <w:sz w:val="28"/>
                <w:szCs w:val="28"/>
                <w:lang w:val="uk-UA"/>
              </w:rPr>
            </w:pPr>
            <w:r w:rsidRPr="00012F54">
              <w:rPr>
                <w:rFonts w:ascii="Times New Roman" w:hAnsi="Times New Roman"/>
                <w:sz w:val="28"/>
                <w:szCs w:val="28"/>
                <w:lang w:val="uk-UA"/>
              </w:rPr>
              <w:t>5,07±0,28º</w:t>
            </w:r>
          </w:p>
        </w:tc>
      </w:tr>
    </w:tbl>
    <w:p w:rsidR="00012F54" w:rsidRPr="00763508" w:rsidRDefault="00012F54" w:rsidP="00012F54">
      <w:pPr>
        <w:widowControl w:val="0"/>
        <w:tabs>
          <w:tab w:val="left" w:pos="1080"/>
        </w:tabs>
        <w:spacing w:after="0" w:line="360" w:lineRule="auto"/>
        <w:ind w:firstLine="284"/>
        <w:jc w:val="both"/>
        <w:rPr>
          <w:rFonts w:ascii="Times New Roman" w:hAnsi="Times New Roman"/>
          <w:sz w:val="28"/>
          <w:szCs w:val="28"/>
          <w:lang w:val="uk-UA"/>
        </w:rPr>
      </w:pPr>
    </w:p>
    <w:p w:rsidR="00012F54" w:rsidRPr="00012F54" w:rsidRDefault="00012F54" w:rsidP="00B065B6">
      <w:pPr>
        <w:widowControl w:val="0"/>
        <w:tabs>
          <w:tab w:val="left" w:pos="108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Примітки: </w:t>
      </w:r>
    </w:p>
    <w:p w:rsidR="00012F54" w:rsidRPr="00012F54" w:rsidRDefault="00012F54" w:rsidP="00D17BD3">
      <w:pPr>
        <w:widowControl w:val="0"/>
        <w:numPr>
          <w:ilvl w:val="0"/>
          <w:numId w:val="12"/>
        </w:numPr>
        <w:tabs>
          <w:tab w:val="left" w:pos="709"/>
          <w:tab w:val="left" w:pos="993"/>
        </w:tabs>
        <w:spacing w:after="0" w:line="360" w:lineRule="auto"/>
        <w:ind w:left="709" w:firstLine="0"/>
        <w:jc w:val="both"/>
        <w:rPr>
          <w:rFonts w:ascii="Times New Roman" w:hAnsi="Times New Roman"/>
          <w:sz w:val="28"/>
          <w:szCs w:val="28"/>
          <w:lang w:val="uk-UA"/>
        </w:rPr>
      </w:pPr>
      <w:r w:rsidRPr="00012F54">
        <w:rPr>
          <w:rFonts w:ascii="Times New Roman" w:hAnsi="Times New Roman"/>
          <w:sz w:val="28"/>
          <w:szCs w:val="28"/>
          <w:lang w:val="uk-UA"/>
        </w:rPr>
        <w:t>º – р&lt;0,05 відносно І-ої групи;</w:t>
      </w:r>
    </w:p>
    <w:p w:rsidR="00012F54" w:rsidRPr="00012F54" w:rsidRDefault="00012F54" w:rsidP="00D17BD3">
      <w:pPr>
        <w:pStyle w:val="a5"/>
        <w:widowControl w:val="0"/>
        <w:numPr>
          <w:ilvl w:val="0"/>
          <w:numId w:val="12"/>
        </w:numPr>
        <w:tabs>
          <w:tab w:val="left" w:pos="993"/>
        </w:tabs>
        <w:spacing w:after="0" w:line="360" w:lineRule="auto"/>
        <w:ind w:left="709" w:firstLine="0"/>
        <w:jc w:val="both"/>
        <w:rPr>
          <w:rFonts w:ascii="Times New Roman" w:hAnsi="Times New Roman"/>
          <w:sz w:val="28"/>
          <w:szCs w:val="28"/>
          <w:lang w:val="uk-UA"/>
        </w:rPr>
      </w:pPr>
      <w:r w:rsidRPr="00012F54">
        <w:rPr>
          <w:rFonts w:ascii="Times New Roman" w:hAnsi="Times New Roman"/>
          <w:sz w:val="28"/>
          <w:szCs w:val="28"/>
          <w:lang w:val="uk-UA"/>
        </w:rPr>
        <w:t>* – р&lt;0,05 відносно ІІІ-ої групи;</w:t>
      </w:r>
    </w:p>
    <w:p w:rsidR="00012F54" w:rsidRPr="00012F54" w:rsidRDefault="00012F54" w:rsidP="00D17BD3">
      <w:pPr>
        <w:pStyle w:val="a5"/>
        <w:widowControl w:val="0"/>
        <w:numPr>
          <w:ilvl w:val="0"/>
          <w:numId w:val="12"/>
        </w:numPr>
        <w:tabs>
          <w:tab w:val="left" w:pos="993"/>
        </w:tabs>
        <w:spacing w:after="0" w:line="360" w:lineRule="auto"/>
        <w:ind w:left="709" w:firstLine="0"/>
        <w:jc w:val="both"/>
        <w:rPr>
          <w:rFonts w:ascii="Times New Roman" w:hAnsi="Times New Roman"/>
          <w:sz w:val="28"/>
          <w:szCs w:val="28"/>
          <w:lang w:val="uk-UA"/>
        </w:rPr>
      </w:pPr>
      <w:r w:rsidRPr="00012F54">
        <w:rPr>
          <w:rFonts w:ascii="Times New Roman" w:hAnsi="Times New Roman"/>
          <w:sz w:val="28"/>
          <w:szCs w:val="28"/>
          <w:vertAlign w:val="superscript"/>
          <w:lang w:val="uk-UA"/>
        </w:rPr>
        <w:t xml:space="preserve"># </w:t>
      </w:r>
      <w:r w:rsidRPr="00012F54">
        <w:rPr>
          <w:rFonts w:ascii="Times New Roman" w:hAnsi="Times New Roman"/>
          <w:sz w:val="28"/>
          <w:szCs w:val="28"/>
          <w:lang w:val="uk-UA"/>
        </w:rPr>
        <w:t>– р&lt;0,05 відносно ІV-ої групи;</w:t>
      </w:r>
    </w:p>
    <w:p w:rsidR="00012F54" w:rsidRDefault="00012F54" w:rsidP="00D17BD3">
      <w:pPr>
        <w:pStyle w:val="a5"/>
        <w:widowControl w:val="0"/>
        <w:numPr>
          <w:ilvl w:val="0"/>
          <w:numId w:val="12"/>
        </w:numPr>
        <w:tabs>
          <w:tab w:val="left" w:pos="993"/>
        </w:tabs>
        <w:spacing w:after="0" w:line="360" w:lineRule="auto"/>
        <w:ind w:left="709" w:firstLine="0"/>
        <w:jc w:val="both"/>
        <w:rPr>
          <w:rFonts w:ascii="Times New Roman" w:hAnsi="Times New Roman"/>
          <w:sz w:val="28"/>
          <w:szCs w:val="28"/>
          <w:lang w:val="uk-UA"/>
        </w:rPr>
      </w:pPr>
      <w:r w:rsidRPr="00012F54">
        <w:rPr>
          <w:rFonts w:ascii="Times New Roman" w:hAnsi="Times New Roman"/>
          <w:sz w:val="28"/>
          <w:szCs w:val="28"/>
          <w:lang w:val="en-US" w:eastAsia="en-US"/>
        </w:rPr>
        <w:t>n</w:t>
      </w:r>
      <w:r w:rsidRPr="00012F54">
        <w:rPr>
          <w:rFonts w:ascii="Times New Roman" w:hAnsi="Times New Roman"/>
          <w:sz w:val="28"/>
          <w:szCs w:val="28"/>
          <w:lang w:eastAsia="en-US"/>
        </w:rPr>
        <w:t xml:space="preserve"> – кількістьтварин в групі</w:t>
      </w:r>
      <w:r w:rsidRPr="00012F54">
        <w:rPr>
          <w:rFonts w:ascii="Times New Roman" w:hAnsi="Times New Roman"/>
          <w:sz w:val="28"/>
          <w:szCs w:val="28"/>
          <w:lang w:val="uk-UA" w:eastAsia="en-US"/>
        </w:rPr>
        <w:t>.</w:t>
      </w:r>
    </w:p>
    <w:p w:rsidR="00E93435" w:rsidRPr="00763508" w:rsidRDefault="00E93435" w:rsidP="00E93435">
      <w:pPr>
        <w:pStyle w:val="a5"/>
        <w:widowControl w:val="0"/>
        <w:tabs>
          <w:tab w:val="left" w:pos="993"/>
        </w:tabs>
        <w:spacing w:after="0" w:line="360" w:lineRule="auto"/>
        <w:ind w:left="709"/>
        <w:jc w:val="both"/>
        <w:rPr>
          <w:rFonts w:ascii="Times New Roman" w:hAnsi="Times New Roman"/>
          <w:sz w:val="28"/>
          <w:szCs w:val="28"/>
          <w:lang w:val="uk-UA"/>
        </w:rPr>
      </w:pPr>
    </w:p>
    <w:p w:rsidR="00012F54" w:rsidRPr="00012F54" w:rsidRDefault="00012F54" w:rsidP="00B065B6">
      <w:pPr>
        <w:widowControl w:val="0"/>
        <w:tabs>
          <w:tab w:val="left" w:pos="1276"/>
          <w:tab w:val="left" w:pos="1701"/>
        </w:tabs>
        <w:spacing w:after="0" w:line="360" w:lineRule="auto"/>
        <w:ind w:firstLine="284"/>
        <w:jc w:val="both"/>
        <w:rPr>
          <w:rFonts w:ascii="Times New Roman" w:eastAsia="TimesNewRomanPSMT" w:hAnsi="Times New Roman"/>
          <w:sz w:val="28"/>
          <w:szCs w:val="28"/>
          <w:lang w:val="uk-UA"/>
        </w:rPr>
      </w:pPr>
      <w:r w:rsidRPr="00012F54">
        <w:rPr>
          <w:rFonts w:ascii="Times New Roman" w:hAnsi="Times New Roman"/>
          <w:sz w:val="28"/>
          <w:szCs w:val="28"/>
          <w:lang w:val="uk-UA"/>
        </w:rPr>
        <w:t>Отож, варіаційний ряд виглядає наступним чином: псевдооперовані щури &gt;</w:t>
      </w:r>
      <w:r w:rsidRPr="00012F54">
        <w:rPr>
          <w:rFonts w:ascii="Times New Roman" w:eastAsia="TimesNewRomanPSMT" w:hAnsi="Times New Roman"/>
          <w:sz w:val="28"/>
          <w:szCs w:val="28"/>
          <w:lang w:val="uk-UA"/>
        </w:rPr>
        <w:t>0,07 мл/кг</w:t>
      </w:r>
      <w:r w:rsidRPr="00012F54">
        <w:rPr>
          <w:rFonts w:ascii="Times New Roman" w:hAnsi="Times New Roman"/>
          <w:sz w:val="28"/>
          <w:szCs w:val="28"/>
          <w:lang w:val="uk-UA"/>
        </w:rPr>
        <w:t xml:space="preserve"> (ІІІ-тя група, САК легкого ступеня важкості) &gt;</w:t>
      </w:r>
      <w:r w:rsidRPr="00012F54">
        <w:rPr>
          <w:rFonts w:ascii="Times New Roman" w:eastAsia="TimesNewRomanPSMT" w:hAnsi="Times New Roman"/>
          <w:sz w:val="28"/>
          <w:szCs w:val="28"/>
          <w:lang w:val="uk-UA"/>
        </w:rPr>
        <w:t>0,05 мл/кг (</w:t>
      </w:r>
      <w:r w:rsidRPr="00012F54">
        <w:rPr>
          <w:rFonts w:ascii="Times New Roman" w:hAnsi="Times New Roman"/>
          <w:sz w:val="28"/>
          <w:szCs w:val="28"/>
          <w:lang w:val="uk-UA"/>
        </w:rPr>
        <w:t>ІV-та група, САК середнього ступеня важкості) &gt;</w:t>
      </w:r>
      <w:r w:rsidRPr="00012F54">
        <w:rPr>
          <w:rFonts w:ascii="Times New Roman" w:eastAsia="TimesNewRomanPSMT" w:hAnsi="Times New Roman"/>
          <w:sz w:val="28"/>
          <w:szCs w:val="28"/>
          <w:lang w:val="uk-UA"/>
        </w:rPr>
        <w:t>0,1 мл/кг (ІІ-га група, САК тяжкого ступеня важкості).</w:t>
      </w:r>
    </w:p>
    <w:p w:rsidR="00012F54" w:rsidRPr="00012F54" w:rsidRDefault="00012F54" w:rsidP="00B065B6">
      <w:pPr>
        <w:widowControl w:val="0"/>
        <w:tabs>
          <w:tab w:val="left" w:pos="1276"/>
          <w:tab w:val="left" w:pos="1701"/>
        </w:tabs>
        <w:spacing w:after="0" w:line="360" w:lineRule="auto"/>
        <w:ind w:firstLine="284"/>
        <w:jc w:val="both"/>
        <w:rPr>
          <w:rFonts w:ascii="Times New Roman" w:eastAsia="TimesNewRomanPSMT" w:hAnsi="Times New Roman"/>
          <w:sz w:val="28"/>
          <w:szCs w:val="28"/>
          <w:lang w:val="uk-UA"/>
        </w:rPr>
      </w:pPr>
      <w:r w:rsidRPr="00012F54">
        <w:rPr>
          <w:rFonts w:ascii="Times New Roman" w:hAnsi="Times New Roman"/>
          <w:sz w:val="28"/>
          <w:szCs w:val="28"/>
          <w:lang w:val="uk-UA"/>
        </w:rPr>
        <w:t xml:space="preserve">Зважаючи на той факт, що головний мозок знаходиться у замкненій черепній коробці, будь-які зміни у ліквородинаміці (підвищення або зменшення об'єму циркулюючого ліквору) можуть призвести до зміщення та стискання його основних структур (бічних шлуночків, вклинення довгастого мозку у великий потиличний отвір, тощо). Описаний процес є вторинним альтеруючим фактором, котрий може самостійно впливати на прогноз у таких хворих з </w:t>
      </w:r>
      <w:r w:rsidRPr="00012F54">
        <w:rPr>
          <w:rFonts w:ascii="Times New Roman" w:hAnsi="Times New Roman"/>
          <w:color w:val="000000" w:themeColor="text1"/>
          <w:sz w:val="28"/>
          <w:szCs w:val="28"/>
          <w:lang w:val="uk-UA"/>
        </w:rPr>
        <w:t>ВЧК</w:t>
      </w:r>
      <w:r w:rsidRPr="00012F54">
        <w:rPr>
          <w:rFonts w:ascii="Times New Roman" w:hAnsi="Times New Roman"/>
          <w:sz w:val="28"/>
          <w:szCs w:val="28"/>
          <w:lang w:val="uk-UA"/>
        </w:rPr>
        <w:t xml:space="preserve">. В умовах інсульту, особливо САК, лікводинаміка змінюється у бік наростання ВЧТ, напряму, через кров, яка </w:t>
      </w:r>
      <w:r w:rsidRPr="00012F54">
        <w:rPr>
          <w:rFonts w:ascii="Times New Roman" w:hAnsi="Times New Roman"/>
          <w:sz w:val="28"/>
          <w:szCs w:val="28"/>
          <w:lang w:val="uk-UA"/>
        </w:rPr>
        <w:lastRenderedPageBreak/>
        <w:t>потрапляє у підпавутинний простір, або опосередковано, при просякненні речовини мозку при ВМК. За рахунок появи згустків крові у підпавутинному просторі формуються септи, різко погіршується крово- та лікворобіг і наростає показник ВЧТ та розвивається набряк-набухання головного мозку.</w:t>
      </w:r>
    </w:p>
    <w:p w:rsidR="00012F54" w:rsidRDefault="00012F54" w:rsidP="00B065B6">
      <w:pPr>
        <w:widowControl w:val="0"/>
        <w:tabs>
          <w:tab w:val="left" w:pos="1276"/>
          <w:tab w:val="left" w:pos="1701"/>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За співвідносністю між об’ємом крові у САП та змінами ВЧТ можна охарактеризувати модель САК за різними ступенями важкості, що і було зроблено та описано нижче. Моніторинг значень ВЧТ у щурів із САК ІІ-ої групи показав, що на другу добу після моделювання інсульту (критичний період), абсолютні цифри досліджуваного показника вірогідно зросли відносно тотожних значень у псевдооперованих тварин в середньому у 3,83 рази, що, очевидно супроводжується суттєвим набряком-набуханням мозку, табл. 3.5. </w:t>
      </w:r>
    </w:p>
    <w:p w:rsidR="00012F54" w:rsidRDefault="00012F54" w:rsidP="00012F54">
      <w:pPr>
        <w:pStyle w:val="2"/>
        <w:ind w:firstLine="284"/>
        <w:jc w:val="right"/>
        <w:rPr>
          <w:rFonts w:ascii="Times New Roman" w:hAnsi="Times New Roman" w:cs="Times New Roman"/>
          <w:color w:val="auto"/>
          <w:szCs w:val="28"/>
          <w:lang w:val="uk-UA"/>
        </w:rPr>
      </w:pPr>
      <w:r w:rsidRPr="00012F54">
        <w:rPr>
          <w:rFonts w:ascii="Times New Roman" w:hAnsi="Times New Roman" w:cs="Times New Roman"/>
          <w:color w:val="auto"/>
          <w:szCs w:val="28"/>
          <w:lang w:val="uk-UA"/>
        </w:rPr>
        <w:t>Таблиця 3.5</w:t>
      </w:r>
    </w:p>
    <w:p w:rsidR="007342CD" w:rsidRPr="007342CD" w:rsidRDefault="007342CD" w:rsidP="007342CD">
      <w:pPr>
        <w:rPr>
          <w:lang w:val="uk-UA"/>
        </w:rPr>
      </w:pP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 xml:space="preserve">Залежність показника внутрішньочерепного тиску у щурів </w:t>
      </w: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 xml:space="preserve">із модельним субарахноїдальним крововиливом від об’єму крові, введеній </w:t>
      </w:r>
    </w:p>
    <w:p w:rsid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у підпавутинний простір (48 год експерименту, критичний період), M±m (n=7)</w:t>
      </w:r>
    </w:p>
    <w:p w:rsidR="00763508" w:rsidRPr="00012F54" w:rsidRDefault="00763508" w:rsidP="00012F54">
      <w:pPr>
        <w:widowControl w:val="0"/>
        <w:spacing w:after="0" w:line="360" w:lineRule="auto"/>
        <w:ind w:firstLine="284"/>
        <w:jc w:val="center"/>
        <w:rPr>
          <w:rFonts w:ascii="Times New Roman" w:hAnsi="Times New Roman"/>
          <w:sz w:val="28"/>
          <w:szCs w:val="28"/>
          <w:lang w:val="uk-UA"/>
        </w:rPr>
      </w:pP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0"/>
        <w:gridCol w:w="4253"/>
      </w:tblGrid>
      <w:tr w:rsidR="00012F54" w:rsidRPr="00012F54" w:rsidTr="00012F54">
        <w:trPr>
          <w:trHeight w:val="317"/>
          <w:jc w:val="center"/>
        </w:trPr>
        <w:tc>
          <w:tcPr>
            <w:tcW w:w="2830" w:type="dxa"/>
            <w:tcBorders>
              <w:top w:val="single" w:sz="4" w:space="0" w:color="auto"/>
              <w:left w:val="single" w:sz="4" w:space="0" w:color="auto"/>
              <w:right w:val="single" w:sz="4" w:space="0" w:color="auto"/>
            </w:tcBorders>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Дослідні групи</w:t>
            </w:r>
          </w:p>
        </w:tc>
        <w:tc>
          <w:tcPr>
            <w:tcW w:w="4253" w:type="dxa"/>
            <w:tcBorders>
              <w:top w:val="single" w:sz="4" w:space="0" w:color="auto"/>
              <w:left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ВЧТ (у. о.)</w:t>
            </w:r>
          </w:p>
        </w:tc>
      </w:tr>
      <w:tr w:rsidR="00012F54" w:rsidRPr="00012F54" w:rsidTr="00012F54">
        <w:trPr>
          <w:trHeight w:val="227"/>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І</w:t>
            </w:r>
          </w:p>
        </w:tc>
        <w:tc>
          <w:tcPr>
            <w:tcW w:w="4253" w:type="dxa"/>
            <w:tcBorders>
              <w:top w:val="single" w:sz="4" w:space="0" w:color="auto"/>
              <w:left w:val="single" w:sz="4" w:space="0" w:color="auto"/>
              <w:bottom w:val="single" w:sz="4" w:space="0" w:color="auto"/>
              <w:right w:val="single" w:sz="4" w:space="0" w:color="auto"/>
            </w:tcBorders>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4,286±0,0421</w:t>
            </w:r>
          </w:p>
        </w:tc>
      </w:tr>
      <w:tr w:rsidR="00012F54" w:rsidRPr="00012F54" w:rsidTr="00012F54">
        <w:trPr>
          <w:trHeight w:val="227"/>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ІІ</w:t>
            </w:r>
          </w:p>
        </w:tc>
        <w:tc>
          <w:tcPr>
            <w:tcW w:w="4253" w:type="dxa"/>
            <w:tcBorders>
              <w:top w:val="single" w:sz="4" w:space="0" w:color="auto"/>
              <w:left w:val="single" w:sz="4" w:space="0" w:color="auto"/>
              <w:bottom w:val="single" w:sz="4" w:space="0" w:color="auto"/>
              <w:right w:val="single" w:sz="4" w:space="0" w:color="auto"/>
            </w:tcBorders>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16,429±0,571 º*</w:t>
            </w:r>
            <w:r w:rsidRPr="00012F54">
              <w:rPr>
                <w:rFonts w:ascii="Times New Roman" w:hAnsi="Times New Roman"/>
                <w:sz w:val="28"/>
                <w:szCs w:val="28"/>
                <w:vertAlign w:val="superscript"/>
                <w:lang w:val="uk-UA"/>
              </w:rPr>
              <w:t>#</w:t>
            </w:r>
          </w:p>
        </w:tc>
      </w:tr>
      <w:tr w:rsidR="00012F54" w:rsidRPr="00012F54" w:rsidTr="00012F54">
        <w:trPr>
          <w:trHeight w:val="319"/>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ІІІ</w:t>
            </w:r>
          </w:p>
        </w:tc>
        <w:tc>
          <w:tcPr>
            <w:tcW w:w="4253"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10,571±0,429 º</w:t>
            </w:r>
            <w:r w:rsidRPr="00012F54">
              <w:rPr>
                <w:rFonts w:ascii="Times New Roman" w:hAnsi="Times New Roman"/>
                <w:sz w:val="28"/>
                <w:szCs w:val="28"/>
                <w:vertAlign w:val="superscript"/>
                <w:lang w:val="uk-UA"/>
              </w:rPr>
              <w:t>#</w:t>
            </w:r>
          </w:p>
        </w:tc>
      </w:tr>
      <w:tr w:rsidR="00012F54" w:rsidRPr="00012F54" w:rsidTr="00012F54">
        <w:trPr>
          <w:trHeight w:val="268"/>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ІV</w:t>
            </w:r>
          </w:p>
        </w:tc>
        <w:tc>
          <w:tcPr>
            <w:tcW w:w="4253"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D17BD3">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7,571±0,369 º</w:t>
            </w:r>
          </w:p>
        </w:tc>
      </w:tr>
    </w:tbl>
    <w:p w:rsidR="00012F54" w:rsidRPr="00763508" w:rsidRDefault="00012F54" w:rsidP="00012F54">
      <w:pPr>
        <w:widowControl w:val="0"/>
        <w:tabs>
          <w:tab w:val="left" w:pos="1080"/>
        </w:tabs>
        <w:spacing w:after="0" w:line="240" w:lineRule="auto"/>
        <w:ind w:firstLine="284"/>
        <w:jc w:val="both"/>
        <w:rPr>
          <w:rFonts w:ascii="Times New Roman" w:hAnsi="Times New Roman"/>
          <w:sz w:val="28"/>
          <w:szCs w:val="28"/>
          <w:lang w:val="uk-UA"/>
        </w:rPr>
      </w:pPr>
    </w:p>
    <w:p w:rsidR="00012F54" w:rsidRPr="00012F54" w:rsidRDefault="00012F54" w:rsidP="00B065B6">
      <w:pPr>
        <w:widowControl w:val="0"/>
        <w:tabs>
          <w:tab w:val="left" w:pos="108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Примітки: </w:t>
      </w:r>
    </w:p>
    <w:p w:rsidR="00012F54" w:rsidRPr="00012F54" w:rsidRDefault="00012F54" w:rsidP="00D17BD3">
      <w:pPr>
        <w:widowControl w:val="0"/>
        <w:numPr>
          <w:ilvl w:val="0"/>
          <w:numId w:val="13"/>
        </w:numPr>
        <w:tabs>
          <w:tab w:val="left" w:pos="1134"/>
        </w:tabs>
        <w:spacing w:after="0" w:line="360" w:lineRule="auto"/>
        <w:ind w:left="709" w:firstLine="0"/>
        <w:jc w:val="both"/>
        <w:rPr>
          <w:rFonts w:ascii="Times New Roman" w:hAnsi="Times New Roman"/>
          <w:sz w:val="28"/>
          <w:szCs w:val="28"/>
          <w:lang w:val="uk-UA"/>
        </w:rPr>
      </w:pPr>
      <w:r w:rsidRPr="00012F54">
        <w:rPr>
          <w:rFonts w:ascii="Times New Roman" w:hAnsi="Times New Roman"/>
          <w:sz w:val="28"/>
          <w:szCs w:val="28"/>
          <w:lang w:val="uk-UA"/>
        </w:rPr>
        <w:t>º – р&lt;0,05 відносно І</w:t>
      </w:r>
      <w:r w:rsidRPr="00012F54">
        <w:rPr>
          <w:rFonts w:ascii="Times New Roman" w:hAnsi="Times New Roman"/>
          <w:sz w:val="28"/>
          <w:szCs w:val="28"/>
          <w:vertAlign w:val="subscript"/>
          <w:lang w:val="uk-UA"/>
        </w:rPr>
        <w:t>САК</w:t>
      </w:r>
      <w:r w:rsidRPr="00012F54">
        <w:rPr>
          <w:rFonts w:ascii="Times New Roman" w:hAnsi="Times New Roman"/>
          <w:sz w:val="28"/>
          <w:szCs w:val="28"/>
          <w:lang w:val="uk-UA"/>
        </w:rPr>
        <w:t>-ої групи;</w:t>
      </w:r>
    </w:p>
    <w:p w:rsidR="00012F54" w:rsidRPr="00012F54" w:rsidRDefault="00012F54" w:rsidP="00D17BD3">
      <w:pPr>
        <w:pStyle w:val="a5"/>
        <w:widowControl w:val="0"/>
        <w:numPr>
          <w:ilvl w:val="0"/>
          <w:numId w:val="13"/>
        </w:numPr>
        <w:tabs>
          <w:tab w:val="left" w:pos="1134"/>
        </w:tabs>
        <w:spacing w:after="0" w:line="360" w:lineRule="auto"/>
        <w:ind w:left="709" w:firstLine="0"/>
        <w:jc w:val="both"/>
        <w:rPr>
          <w:rFonts w:ascii="Times New Roman" w:hAnsi="Times New Roman"/>
          <w:sz w:val="28"/>
          <w:szCs w:val="28"/>
          <w:lang w:val="uk-UA"/>
        </w:rPr>
      </w:pPr>
      <w:r w:rsidRPr="00012F54">
        <w:rPr>
          <w:rFonts w:ascii="Times New Roman" w:hAnsi="Times New Roman"/>
          <w:sz w:val="28"/>
          <w:szCs w:val="28"/>
          <w:lang w:val="uk-UA"/>
        </w:rPr>
        <w:t>* – р&lt;0,05 відносно ІІІ</w:t>
      </w:r>
      <w:r w:rsidRPr="00012F54">
        <w:rPr>
          <w:rFonts w:ascii="Times New Roman" w:hAnsi="Times New Roman"/>
          <w:sz w:val="28"/>
          <w:szCs w:val="28"/>
          <w:vertAlign w:val="subscript"/>
          <w:lang w:val="uk-UA"/>
        </w:rPr>
        <w:t>САК</w:t>
      </w:r>
      <w:r w:rsidRPr="00012F54">
        <w:rPr>
          <w:rFonts w:ascii="Times New Roman" w:hAnsi="Times New Roman"/>
          <w:sz w:val="28"/>
          <w:szCs w:val="28"/>
          <w:lang w:val="uk-UA"/>
        </w:rPr>
        <w:t>-ої групи;</w:t>
      </w:r>
    </w:p>
    <w:p w:rsidR="00012F54" w:rsidRPr="00012F54" w:rsidRDefault="00012F54" w:rsidP="00D17BD3">
      <w:pPr>
        <w:pStyle w:val="a5"/>
        <w:widowControl w:val="0"/>
        <w:numPr>
          <w:ilvl w:val="0"/>
          <w:numId w:val="13"/>
        </w:numPr>
        <w:tabs>
          <w:tab w:val="left" w:pos="1134"/>
        </w:tabs>
        <w:spacing w:after="0" w:line="360" w:lineRule="auto"/>
        <w:ind w:left="709" w:firstLine="0"/>
        <w:jc w:val="both"/>
        <w:rPr>
          <w:rFonts w:ascii="Times New Roman" w:hAnsi="Times New Roman"/>
          <w:sz w:val="28"/>
          <w:szCs w:val="28"/>
          <w:lang w:val="uk-UA"/>
        </w:rPr>
      </w:pPr>
      <w:r w:rsidRPr="00012F54">
        <w:rPr>
          <w:rFonts w:ascii="Times New Roman" w:hAnsi="Times New Roman"/>
          <w:sz w:val="28"/>
          <w:szCs w:val="28"/>
          <w:vertAlign w:val="superscript"/>
          <w:lang w:val="uk-UA"/>
        </w:rPr>
        <w:t xml:space="preserve"># </w:t>
      </w:r>
      <w:r w:rsidRPr="00012F54">
        <w:rPr>
          <w:rFonts w:ascii="Times New Roman" w:hAnsi="Times New Roman"/>
          <w:sz w:val="28"/>
          <w:szCs w:val="28"/>
          <w:lang w:val="uk-UA"/>
        </w:rPr>
        <w:t>– р&lt;0,05 відносно ІV</w:t>
      </w:r>
      <w:r w:rsidRPr="00012F54">
        <w:rPr>
          <w:rFonts w:ascii="Times New Roman" w:hAnsi="Times New Roman"/>
          <w:sz w:val="28"/>
          <w:szCs w:val="28"/>
          <w:vertAlign w:val="subscript"/>
          <w:lang w:val="uk-UA"/>
        </w:rPr>
        <w:t>САК</w:t>
      </w:r>
      <w:r w:rsidRPr="00012F54">
        <w:rPr>
          <w:rFonts w:ascii="Times New Roman" w:hAnsi="Times New Roman"/>
          <w:sz w:val="28"/>
          <w:szCs w:val="28"/>
          <w:lang w:val="uk-UA"/>
        </w:rPr>
        <w:t>-ої групи;</w:t>
      </w:r>
    </w:p>
    <w:p w:rsidR="00012F54" w:rsidRPr="00012F54" w:rsidRDefault="00012F54" w:rsidP="00D17BD3">
      <w:pPr>
        <w:pStyle w:val="a5"/>
        <w:widowControl w:val="0"/>
        <w:numPr>
          <w:ilvl w:val="0"/>
          <w:numId w:val="13"/>
        </w:numPr>
        <w:tabs>
          <w:tab w:val="left" w:pos="1134"/>
        </w:tabs>
        <w:spacing w:after="0" w:line="360" w:lineRule="auto"/>
        <w:ind w:left="709" w:firstLine="0"/>
        <w:jc w:val="both"/>
        <w:rPr>
          <w:rFonts w:ascii="Times New Roman" w:hAnsi="Times New Roman"/>
          <w:sz w:val="28"/>
          <w:szCs w:val="28"/>
          <w:lang w:val="uk-UA"/>
        </w:rPr>
      </w:pPr>
      <w:r w:rsidRPr="00012F54">
        <w:rPr>
          <w:rFonts w:ascii="Times New Roman" w:hAnsi="Times New Roman"/>
          <w:sz w:val="28"/>
          <w:szCs w:val="28"/>
          <w:lang w:val="en-US" w:eastAsia="en-US"/>
        </w:rPr>
        <w:t>n</w:t>
      </w:r>
      <w:r w:rsidRPr="00012F54">
        <w:rPr>
          <w:rFonts w:ascii="Times New Roman" w:hAnsi="Times New Roman"/>
          <w:sz w:val="28"/>
          <w:szCs w:val="28"/>
          <w:lang w:eastAsia="en-US"/>
        </w:rPr>
        <w:t xml:space="preserve"> – кількістьтварин в групі</w:t>
      </w:r>
      <w:r w:rsidRPr="00012F54">
        <w:rPr>
          <w:rFonts w:ascii="Times New Roman" w:hAnsi="Times New Roman"/>
          <w:sz w:val="28"/>
          <w:szCs w:val="28"/>
          <w:lang w:val="uk-UA" w:eastAsia="en-US"/>
        </w:rPr>
        <w:t>.</w:t>
      </w:r>
    </w:p>
    <w:p w:rsidR="00012F54" w:rsidRPr="00E93435" w:rsidRDefault="00012F54" w:rsidP="00B065B6">
      <w:pPr>
        <w:widowControl w:val="0"/>
        <w:tabs>
          <w:tab w:val="left" w:pos="1276"/>
          <w:tab w:val="left" w:pos="1701"/>
        </w:tabs>
        <w:spacing w:after="0" w:line="360" w:lineRule="auto"/>
        <w:ind w:firstLine="284"/>
        <w:jc w:val="both"/>
        <w:rPr>
          <w:rFonts w:ascii="Times New Roman" w:hAnsi="Times New Roman"/>
          <w:sz w:val="16"/>
          <w:szCs w:val="16"/>
          <w:lang w:val="uk-UA"/>
        </w:rPr>
      </w:pPr>
    </w:p>
    <w:p w:rsidR="00D17BD3" w:rsidRPr="00012F54" w:rsidRDefault="00D17BD3" w:rsidP="00D17BD3">
      <w:pPr>
        <w:widowControl w:val="0"/>
        <w:tabs>
          <w:tab w:val="left" w:pos="1276"/>
          <w:tab w:val="left" w:pos="1701"/>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Останнє добре співвідноситься із тим, що за показником летальності цей період є критичним у розвитку САК, смертність перейшла позначку у 50 %, сформувався неврологічний дефіцит важкого ступеня тяжкості, а енолазна активність (маркер </w:t>
      </w:r>
      <w:r w:rsidRPr="00012F54">
        <w:rPr>
          <w:rFonts w:ascii="Times New Roman" w:hAnsi="Times New Roman"/>
          <w:sz w:val="28"/>
          <w:szCs w:val="28"/>
          <w:lang w:val="uk-UA"/>
        </w:rPr>
        <w:lastRenderedPageBreak/>
        <w:t xml:space="preserve">нейродеструкції або нейроцитолізу) зросла майже у 30 разів. </w:t>
      </w:r>
    </w:p>
    <w:p w:rsidR="00D17BD3" w:rsidRDefault="00D17BD3" w:rsidP="00D17BD3">
      <w:pPr>
        <w:widowControl w:val="0"/>
        <w:tabs>
          <w:tab w:val="left" w:pos="1276"/>
          <w:tab w:val="left" w:pos="1701"/>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Зменшення кількості введеної у підпавутинний простір аутокрові, закономірно знайшло своє віддзеркалення у деескалації показників ЧМТ у щурів із моделлю САК. Так, регрес такого об’єму до 0,07 мл/кг, супроводжувався вірогідними змінами досліджуваного показника у критичний період експерименту, коли, його рівень знизився відносно ІІ-ої групи в середньому у 1,55 рази, р&lt;0,05. Подальше зменшення об’єму введеної у підпавутинний простір аутокрові ще на 0,02 мл до 0,05 мл/кг, також додатково призвело до зменшення значень ВЧТ у тварин із САК відносно ІІІ-ої групи в середньому у 1,4 рази, р&lt;0,05.</w:t>
      </w:r>
    </w:p>
    <w:p w:rsidR="00D17BD3" w:rsidRPr="00012F54" w:rsidRDefault="00D17BD3" w:rsidP="00D17BD3">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Таким чином, за зміною показника ВЧТ у тварин із </w:t>
      </w:r>
      <w:r w:rsidRPr="00012F54">
        <w:rPr>
          <w:rFonts w:ascii="Times New Roman" w:hAnsi="Times New Roman"/>
          <w:color w:val="000000" w:themeColor="text1"/>
          <w:sz w:val="28"/>
          <w:szCs w:val="28"/>
          <w:lang w:val="uk-UA"/>
        </w:rPr>
        <w:t>ВЧК</w:t>
      </w:r>
      <w:r w:rsidRPr="00012F54">
        <w:rPr>
          <w:rFonts w:ascii="Times New Roman" w:hAnsi="Times New Roman"/>
          <w:sz w:val="28"/>
          <w:szCs w:val="28"/>
          <w:lang w:val="uk-UA"/>
        </w:rPr>
        <w:t xml:space="preserve"> можна зробити висновок, стосовно можливої класифікації ступеня важкості САК, який зростає від легкого до тяжкого в залежності від об’єму крові введеній у підпавутинний простір, відповідно від 0,05 до 0,1 мл, що вже було проілюстровано у табл. 3.2. </w:t>
      </w:r>
    </w:p>
    <w:p w:rsidR="00012F54" w:rsidRPr="00012F54" w:rsidRDefault="00012F54" w:rsidP="00B065B6">
      <w:pPr>
        <w:widowControl w:val="0"/>
        <w:spacing w:after="0" w:line="360" w:lineRule="auto"/>
        <w:ind w:firstLine="284"/>
        <w:jc w:val="both"/>
        <w:rPr>
          <w:rFonts w:ascii="Times New Roman" w:hAnsi="Times New Roman"/>
          <w:b/>
          <w:sz w:val="28"/>
          <w:szCs w:val="28"/>
          <w:lang w:val="uk-UA"/>
        </w:rPr>
      </w:pPr>
      <w:r w:rsidRPr="00012F54">
        <w:rPr>
          <w:rFonts w:ascii="Times New Roman" w:hAnsi="Times New Roman"/>
          <w:sz w:val="28"/>
          <w:szCs w:val="28"/>
          <w:lang w:val="uk-UA"/>
        </w:rPr>
        <w:t>Аналізуючи залежність показника ВЧТ від об’єму крові, введен</w:t>
      </w:r>
      <w:r w:rsidR="0075259E">
        <w:rPr>
          <w:rFonts w:ascii="Times New Roman" w:hAnsi="Times New Roman"/>
          <w:sz w:val="28"/>
          <w:szCs w:val="28"/>
          <w:lang w:val="uk-UA"/>
        </w:rPr>
        <w:t xml:space="preserve">ій у підпавутинний простір, для </w:t>
      </w:r>
      <w:r w:rsidRPr="00012F54">
        <w:rPr>
          <w:rFonts w:ascii="Times New Roman" w:hAnsi="Times New Roman"/>
          <w:sz w:val="28"/>
          <w:szCs w:val="28"/>
          <w:lang w:val="uk-UA"/>
        </w:rPr>
        <w:t xml:space="preserve">демонстрації класифікації ступеня важкості САК у критичний період експерименту, доцільним є побудова варіаційного ряду, в якому той об’єм аутокрові призводить до важчого ступеня інсульту, який знаходиться далі до значень ферменту у групі псевдооперованих тварин. Отож, варіаційний ряд виглядає наступним чином: псевдооперовані щури &gt; САК </w:t>
      </w:r>
      <w:r w:rsidRPr="00012F54">
        <w:rPr>
          <w:rFonts w:ascii="Times New Roman" w:eastAsia="TimesNewRomanPSMT" w:hAnsi="Times New Roman"/>
          <w:sz w:val="28"/>
          <w:szCs w:val="28"/>
          <w:lang w:val="uk-UA"/>
        </w:rPr>
        <w:t>0,05 мл/кг</w:t>
      </w:r>
      <w:r w:rsidRPr="00012F54">
        <w:rPr>
          <w:rFonts w:ascii="Times New Roman" w:hAnsi="Times New Roman"/>
          <w:sz w:val="28"/>
          <w:szCs w:val="28"/>
          <w:lang w:val="uk-UA"/>
        </w:rPr>
        <w:t xml:space="preserve"> (ІV-та група, САК легкого ступеня важкості) &gt; САК </w:t>
      </w:r>
      <w:r w:rsidRPr="00012F54">
        <w:rPr>
          <w:rFonts w:ascii="Times New Roman" w:eastAsia="TimesNewRomanPSMT" w:hAnsi="Times New Roman"/>
          <w:sz w:val="28"/>
          <w:szCs w:val="28"/>
          <w:lang w:val="uk-UA"/>
        </w:rPr>
        <w:t>0,07 мл/кг (</w:t>
      </w:r>
      <w:r w:rsidRPr="00012F54">
        <w:rPr>
          <w:rFonts w:ascii="Times New Roman" w:hAnsi="Times New Roman"/>
          <w:sz w:val="28"/>
          <w:szCs w:val="28"/>
          <w:lang w:val="uk-UA"/>
        </w:rPr>
        <w:t>ІІІ-тя група САК середнього ступеня важкості) &gt;</w:t>
      </w:r>
      <w:r w:rsidRPr="00012F54">
        <w:rPr>
          <w:rFonts w:ascii="Times New Roman" w:eastAsia="TimesNewRomanPSMT" w:hAnsi="Times New Roman"/>
          <w:sz w:val="28"/>
          <w:szCs w:val="28"/>
          <w:lang w:val="uk-UA"/>
        </w:rPr>
        <w:t>0,1 мл/кг (ІІ-га група, САК тяжкого ступеня важкості).</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Таким чином, модель САК у щурів, яка диференціюється по важкості на три ступеня в залежності від об’єму крові введеній у підпавутинний простір головного мозку, являє собою раціональну, валідизовану систему для первинного скринінгу перспективних нейропротекторів, що за сукупністю критеріїв (летальність (виживаність), неврологічний дефіцит, нейромаркерна активність, коливання ВЧТ) дає змогу всебічно та ґрунтовно оцінити їх ефективність [130, 152, 153].</w:t>
      </w:r>
    </w:p>
    <w:p w:rsidR="00012F54" w:rsidRPr="005879AB" w:rsidRDefault="00012F54" w:rsidP="00B065B6">
      <w:pPr>
        <w:pStyle w:val="2"/>
        <w:spacing w:line="360" w:lineRule="auto"/>
        <w:ind w:firstLine="284"/>
        <w:jc w:val="both"/>
        <w:rPr>
          <w:rFonts w:ascii="Times New Roman" w:hAnsi="Times New Roman" w:cs="Times New Roman"/>
          <w:color w:val="auto"/>
          <w:sz w:val="28"/>
          <w:szCs w:val="28"/>
          <w:lang w:val="uk-UA"/>
        </w:rPr>
      </w:pPr>
      <w:r w:rsidRPr="005879AB">
        <w:rPr>
          <w:rFonts w:ascii="Times New Roman" w:hAnsi="Times New Roman" w:cs="Times New Roman"/>
          <w:color w:val="auto"/>
          <w:sz w:val="28"/>
          <w:szCs w:val="28"/>
          <w:lang w:val="uk-UA"/>
        </w:rPr>
        <w:t>3.2. Вплив адемолу на виживаність щурів із модельним внутрішньочерепним крововиливом</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Дані, стосовно динаміки показника летальності щурів після введення аутокрові у САП у групі контрольної патології (в якості терапії використали фізіологічний </w:t>
      </w:r>
      <w:r w:rsidRPr="00012F54">
        <w:rPr>
          <w:rFonts w:ascii="Times New Roman" w:hAnsi="Times New Roman"/>
          <w:sz w:val="28"/>
          <w:szCs w:val="28"/>
          <w:lang w:val="uk-UA"/>
        </w:rPr>
        <w:lastRenderedPageBreak/>
        <w:t xml:space="preserve">розчин NаСІ) та при використанні препаратів, котрі традиційно розглядаються в площині нейропротекції, а також за умови терапії тварин із САК ампульним 1,0 % розчином адемолу, представлені у табл. 3.6. </w:t>
      </w:r>
    </w:p>
    <w:p w:rsidR="00E93435" w:rsidRPr="00E93435" w:rsidRDefault="00E93435" w:rsidP="00D17BD3">
      <w:pPr>
        <w:widowControl w:val="0"/>
        <w:spacing w:after="0" w:line="360" w:lineRule="auto"/>
        <w:ind w:firstLine="284"/>
        <w:jc w:val="both"/>
        <w:rPr>
          <w:rFonts w:ascii="Times New Roman" w:hAnsi="Times New Roman"/>
          <w:sz w:val="16"/>
          <w:szCs w:val="16"/>
          <w:lang w:val="uk-UA"/>
        </w:rPr>
      </w:pPr>
    </w:p>
    <w:p w:rsidR="00012F54" w:rsidRPr="00012F54" w:rsidRDefault="00012F54" w:rsidP="00012F54">
      <w:pPr>
        <w:widowControl w:val="0"/>
        <w:spacing w:after="0" w:line="360" w:lineRule="auto"/>
        <w:ind w:firstLine="284"/>
        <w:jc w:val="right"/>
        <w:rPr>
          <w:rFonts w:ascii="Times New Roman" w:hAnsi="Times New Roman"/>
          <w:sz w:val="28"/>
          <w:szCs w:val="28"/>
          <w:lang w:val="uk-UA"/>
        </w:rPr>
      </w:pPr>
      <w:r w:rsidRPr="00012F54">
        <w:rPr>
          <w:rFonts w:ascii="Times New Roman" w:hAnsi="Times New Roman"/>
          <w:sz w:val="28"/>
          <w:szCs w:val="28"/>
          <w:lang w:val="uk-UA"/>
        </w:rPr>
        <w:t xml:space="preserve">Таблиця 3.6 </w:t>
      </w:r>
    </w:p>
    <w:p w:rsidR="00012F54" w:rsidRDefault="00012F54" w:rsidP="00012F54">
      <w:pPr>
        <w:widowControl w:val="0"/>
        <w:spacing w:after="0" w:line="360" w:lineRule="auto"/>
        <w:jc w:val="center"/>
        <w:rPr>
          <w:rFonts w:ascii="Times New Roman" w:hAnsi="Times New Roman"/>
          <w:sz w:val="28"/>
          <w:szCs w:val="28"/>
          <w:lang w:val="uk-UA"/>
        </w:rPr>
      </w:pPr>
      <w:r w:rsidRPr="00012F54">
        <w:rPr>
          <w:rFonts w:ascii="Times New Roman" w:hAnsi="Times New Roman"/>
          <w:sz w:val="28"/>
          <w:szCs w:val="28"/>
          <w:lang w:val="uk-UA"/>
        </w:rPr>
        <w:t>Порівняльний вплив ефективності адемолу в різному діапазоні доз та шляхах введення, німодипіну, амантадину та магнію сульфату на динаміку летальності щурів із модельним субарахноїдальним крововиливом (n=10)</w:t>
      </w:r>
    </w:p>
    <w:p w:rsidR="00763508" w:rsidRPr="00012F54" w:rsidRDefault="00763508" w:rsidP="00012F54">
      <w:pPr>
        <w:widowControl w:val="0"/>
        <w:spacing w:after="0" w:line="360" w:lineRule="auto"/>
        <w:jc w:val="center"/>
        <w:rPr>
          <w:rFonts w:ascii="Times New Roman" w:hAnsi="Times New Roman"/>
          <w:sz w:val="28"/>
          <w:szCs w:val="28"/>
          <w:lang w:val="uk-UA"/>
        </w:rPr>
      </w:pPr>
    </w:p>
    <w:tbl>
      <w:tblPr>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1"/>
        <w:gridCol w:w="709"/>
        <w:gridCol w:w="851"/>
        <w:gridCol w:w="1275"/>
        <w:gridCol w:w="851"/>
        <w:gridCol w:w="992"/>
        <w:gridCol w:w="850"/>
        <w:gridCol w:w="15"/>
      </w:tblGrid>
      <w:tr w:rsidR="00012F54" w:rsidRPr="00012F54" w:rsidTr="00012F54">
        <w:trPr>
          <w:trHeight w:val="230"/>
          <w:jc w:val="center"/>
        </w:trPr>
        <w:tc>
          <w:tcPr>
            <w:tcW w:w="4531" w:type="dxa"/>
            <w:vMerge w:val="restart"/>
            <w:tcBorders>
              <w:top w:val="single" w:sz="4" w:space="0" w:color="auto"/>
              <w:left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 xml:space="preserve">Дослідні групи </w:t>
            </w:r>
          </w:p>
        </w:tc>
        <w:tc>
          <w:tcPr>
            <w:tcW w:w="5543" w:type="dxa"/>
            <w:gridSpan w:val="7"/>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Летальність, %, термін, год</w:t>
            </w:r>
          </w:p>
        </w:tc>
      </w:tr>
      <w:tr w:rsidR="00012F54" w:rsidRPr="00012F54" w:rsidTr="00012F54">
        <w:trPr>
          <w:gridAfter w:val="1"/>
          <w:wAfter w:w="15" w:type="dxa"/>
          <w:trHeight w:val="443"/>
          <w:jc w:val="center"/>
        </w:trPr>
        <w:tc>
          <w:tcPr>
            <w:tcW w:w="4531" w:type="dxa"/>
            <w:vMerge/>
            <w:tcBorders>
              <w:left w:val="single" w:sz="4" w:space="0" w:color="auto"/>
              <w:bottom w:val="single" w:sz="4" w:space="0" w:color="auto"/>
              <w:right w:val="single" w:sz="4" w:space="0" w:color="auto"/>
            </w:tcBorders>
            <w:vAlign w:val="center"/>
            <w:hideMark/>
          </w:tcPr>
          <w:p w:rsidR="00012F54" w:rsidRPr="00012F54" w:rsidRDefault="00012F54" w:rsidP="007342CD">
            <w:pPr>
              <w:pStyle w:val="aa"/>
              <w:widowControl w:val="0"/>
              <w:spacing w:before="60" w:after="60" w:line="240" w:lineRule="auto"/>
              <w:jc w:val="center"/>
              <w:rPr>
                <w:rFonts w:ascii="Times New Roman" w:hAnsi="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36</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48</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72</w:t>
            </w:r>
          </w:p>
        </w:tc>
        <w:tc>
          <w:tcPr>
            <w:tcW w:w="992"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96</w:t>
            </w:r>
          </w:p>
        </w:tc>
        <w:tc>
          <w:tcPr>
            <w:tcW w:w="85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120</w:t>
            </w:r>
          </w:p>
        </w:tc>
      </w:tr>
      <w:tr w:rsidR="00012F54" w:rsidRPr="00012F54" w:rsidTr="00012F54">
        <w:trPr>
          <w:gridAfter w:val="1"/>
          <w:wAfter w:w="15" w:type="dxa"/>
          <w:trHeight w:val="22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rPr>
                <w:rFonts w:ascii="Times New Roman" w:hAnsi="Times New Roman"/>
                <w:sz w:val="28"/>
                <w:szCs w:val="28"/>
                <w:lang w:val="en-US"/>
              </w:rPr>
            </w:pPr>
            <w:r w:rsidRPr="00012F54">
              <w:rPr>
                <w:rFonts w:ascii="Times New Roman" w:hAnsi="Times New Roman"/>
                <w:sz w:val="28"/>
                <w:szCs w:val="28"/>
                <w:lang w:val="uk-UA"/>
              </w:rPr>
              <w:t>Псевдооперовані щурі</w:t>
            </w:r>
          </w:p>
        </w:tc>
        <w:tc>
          <w:tcPr>
            <w:tcW w:w="709"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r>
      <w:tr w:rsidR="00012F54" w:rsidRPr="00012F54" w:rsidTr="00012F54">
        <w:trPr>
          <w:gridAfter w:val="1"/>
          <w:wAfter w:w="15" w:type="dxa"/>
          <w:trHeight w:val="22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rPr>
                <w:rFonts w:ascii="Times New Roman" w:hAnsi="Times New Roman"/>
                <w:sz w:val="28"/>
                <w:szCs w:val="28"/>
              </w:rPr>
            </w:pPr>
            <w:r w:rsidRPr="00012F54">
              <w:rPr>
                <w:rFonts w:ascii="Times New Roman" w:hAnsi="Times New Roman"/>
                <w:sz w:val="28"/>
                <w:szCs w:val="28"/>
                <w:lang w:val="uk-UA"/>
              </w:rPr>
              <w:t>САК + 0,9 % р-н NаСІ, 2 мл/кг (контрольна патологія)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30º</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50 º</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 º</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 º</w:t>
            </w:r>
          </w:p>
        </w:tc>
        <w:tc>
          <w:tcPr>
            <w:tcW w:w="992"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80 º</w:t>
            </w:r>
          </w:p>
        </w:tc>
        <w:tc>
          <w:tcPr>
            <w:tcW w:w="85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90 º</w:t>
            </w:r>
          </w:p>
        </w:tc>
      </w:tr>
      <w:tr w:rsidR="00012F54" w:rsidRPr="00012F54" w:rsidTr="00012F54">
        <w:trPr>
          <w:gridAfter w:val="1"/>
          <w:wAfter w:w="15" w:type="dxa"/>
          <w:trHeight w:val="358"/>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rPr>
                <w:rFonts w:ascii="Times New Roman" w:hAnsi="Times New Roman"/>
                <w:sz w:val="28"/>
                <w:szCs w:val="28"/>
              </w:rPr>
            </w:pPr>
            <w:r w:rsidRPr="00012F54">
              <w:rPr>
                <w:rFonts w:ascii="Times New Roman" w:hAnsi="Times New Roman"/>
                <w:sz w:val="28"/>
                <w:szCs w:val="28"/>
                <w:lang w:val="uk-UA"/>
              </w:rPr>
              <w:t>САК + адемол, 1 мг⁄кг в/в</w:t>
            </w:r>
          </w:p>
        </w:tc>
        <w:tc>
          <w:tcPr>
            <w:tcW w:w="709"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30º</w:t>
            </w:r>
            <w:r w:rsidRPr="00012F54">
              <w:rPr>
                <w:rFonts w:ascii="Times New Roman" w:hAnsi="Times New Roman"/>
                <w:sz w:val="28"/>
                <w:szCs w:val="28"/>
                <w:vertAlign w:val="superscript"/>
                <w:lang w:val="uk-UA"/>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 º</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r w:rsidRPr="00012F54">
              <w:rPr>
                <w:rFonts w:ascii="Times New Roman" w:hAnsi="Times New Roman"/>
                <w:sz w:val="28"/>
                <w:szCs w:val="28"/>
                <w:vertAlign w:val="superscript"/>
                <w:lang w:val="uk-UA"/>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 º</w:t>
            </w:r>
          </w:p>
        </w:tc>
        <w:tc>
          <w:tcPr>
            <w:tcW w:w="85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 º</w:t>
            </w:r>
          </w:p>
        </w:tc>
      </w:tr>
      <w:tr w:rsidR="00012F54" w:rsidRPr="00012F54" w:rsidTr="00012F54">
        <w:trPr>
          <w:gridAfter w:val="1"/>
          <w:wAfter w:w="15" w:type="dxa"/>
          <w:trHeight w:val="405"/>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rPr>
                <w:rFonts w:ascii="Times New Roman" w:hAnsi="Times New Roman"/>
                <w:sz w:val="28"/>
                <w:szCs w:val="28"/>
              </w:rPr>
            </w:pPr>
            <w:r w:rsidRPr="00012F54">
              <w:rPr>
                <w:rFonts w:ascii="Times New Roman" w:hAnsi="Times New Roman"/>
                <w:sz w:val="28"/>
                <w:szCs w:val="28"/>
                <w:lang w:val="uk-UA"/>
              </w:rPr>
              <w:t>САК + адемол, 2 мг⁄кг в/в</w:t>
            </w:r>
          </w:p>
        </w:tc>
        <w:tc>
          <w:tcPr>
            <w:tcW w:w="709"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10</w:t>
            </w:r>
            <w:r w:rsidRPr="00012F54">
              <w:rPr>
                <w:rFonts w:ascii="Times New Roman" w:hAnsi="Times New Roman"/>
                <w:sz w:val="28"/>
                <w:szCs w:val="28"/>
                <w:vertAlign w:val="superscript"/>
                <w:lang w:val="uk-UA"/>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10</w:t>
            </w:r>
            <w:r w:rsidRPr="00012F54">
              <w:rPr>
                <w:rFonts w:ascii="Times New Roman" w:hAnsi="Times New Roman"/>
                <w:sz w:val="28"/>
                <w:szCs w:val="28"/>
                <w:vertAlign w:val="superscript"/>
                <w:lang w:val="uk-UA"/>
              </w:rPr>
              <w:t>*#α&amp;1,5</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r w:rsidRPr="00012F54">
              <w:rPr>
                <w:rFonts w:ascii="Times New Roman" w:hAnsi="Times New Roman"/>
                <w:sz w:val="28"/>
                <w:szCs w:val="28"/>
                <w:vertAlign w:val="superscript"/>
                <w:lang w:val="uk-UA"/>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r w:rsidRPr="00012F54">
              <w:rPr>
                <w:rFonts w:ascii="Times New Roman" w:hAnsi="Times New Roman"/>
                <w:sz w:val="28"/>
                <w:szCs w:val="28"/>
                <w:vertAlign w:val="superscript"/>
                <w:lang w:val="uk-UA"/>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60º</w:t>
            </w:r>
            <w:r w:rsidRPr="00012F54">
              <w:rPr>
                <w:rFonts w:ascii="Times New Roman" w:hAnsi="Times New Roman"/>
                <w:sz w:val="28"/>
                <w:szCs w:val="28"/>
                <w:vertAlign w:val="superscript"/>
                <w:lang w:val="uk-UA"/>
              </w:rPr>
              <w:t xml:space="preserve"> *#</w:t>
            </w:r>
          </w:p>
        </w:tc>
      </w:tr>
      <w:tr w:rsidR="00012F54" w:rsidRPr="00012F54" w:rsidTr="00012F54">
        <w:trPr>
          <w:gridAfter w:val="1"/>
          <w:wAfter w:w="15" w:type="dxa"/>
          <w:trHeight w:val="283"/>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rPr>
                <w:rFonts w:ascii="Times New Roman" w:hAnsi="Times New Roman"/>
                <w:sz w:val="28"/>
                <w:szCs w:val="28"/>
              </w:rPr>
            </w:pPr>
            <w:r w:rsidRPr="00012F54">
              <w:rPr>
                <w:rFonts w:ascii="Times New Roman" w:hAnsi="Times New Roman"/>
                <w:sz w:val="28"/>
                <w:szCs w:val="28"/>
                <w:lang w:val="uk-UA"/>
              </w:rPr>
              <w:t>САК + адемол, 5 мг⁄кг в/в</w:t>
            </w:r>
          </w:p>
        </w:tc>
        <w:tc>
          <w:tcPr>
            <w:tcW w:w="709"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 º</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 º</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r w:rsidRPr="00012F54">
              <w:rPr>
                <w:rFonts w:ascii="Times New Roman" w:hAnsi="Times New Roman"/>
                <w:sz w:val="28"/>
                <w:szCs w:val="28"/>
                <w:vertAlign w:val="superscript"/>
                <w:lang w:val="uk-UA"/>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60 º</w:t>
            </w:r>
          </w:p>
        </w:tc>
        <w:tc>
          <w:tcPr>
            <w:tcW w:w="85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 º</w:t>
            </w:r>
          </w:p>
        </w:tc>
      </w:tr>
      <w:tr w:rsidR="00012F54" w:rsidRPr="00012F54" w:rsidTr="00012F54">
        <w:trPr>
          <w:gridAfter w:val="1"/>
          <w:wAfter w:w="15" w:type="dxa"/>
          <w:trHeight w:val="374"/>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rPr>
                <w:rFonts w:ascii="Times New Roman" w:hAnsi="Times New Roman"/>
                <w:sz w:val="28"/>
                <w:szCs w:val="28"/>
              </w:rPr>
            </w:pPr>
            <w:r w:rsidRPr="00012F54">
              <w:rPr>
                <w:rFonts w:ascii="Times New Roman" w:hAnsi="Times New Roman"/>
                <w:sz w:val="28"/>
                <w:szCs w:val="28"/>
                <w:lang w:val="uk-UA"/>
              </w:rPr>
              <w:t>САК + адемол, 5 мг⁄кг в/ш</w:t>
            </w:r>
          </w:p>
        </w:tc>
        <w:tc>
          <w:tcPr>
            <w:tcW w:w="709"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 º</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 º</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r w:rsidRPr="00012F54">
              <w:rPr>
                <w:rFonts w:ascii="Times New Roman" w:hAnsi="Times New Roman"/>
                <w:sz w:val="28"/>
                <w:szCs w:val="28"/>
                <w:vertAlign w:val="superscript"/>
                <w:lang w:val="uk-UA"/>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50 º</w:t>
            </w:r>
            <w:r w:rsidRPr="00012F54">
              <w:rPr>
                <w:rFonts w:ascii="Times New Roman" w:hAnsi="Times New Roman"/>
                <w:sz w:val="28"/>
                <w:szCs w:val="28"/>
                <w:vertAlign w:val="superscript"/>
                <w:lang w:val="uk-UA"/>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 º</w:t>
            </w:r>
          </w:p>
        </w:tc>
      </w:tr>
      <w:tr w:rsidR="00012F54" w:rsidRPr="00012F54" w:rsidTr="00012F54">
        <w:trPr>
          <w:gridAfter w:val="1"/>
          <w:wAfter w:w="15" w:type="dxa"/>
          <w:trHeight w:val="265"/>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rPr>
                <w:rFonts w:ascii="Times New Roman" w:hAnsi="Times New Roman"/>
                <w:sz w:val="28"/>
                <w:szCs w:val="28"/>
              </w:rPr>
            </w:pPr>
            <w:r w:rsidRPr="00012F54">
              <w:rPr>
                <w:rFonts w:ascii="Times New Roman" w:hAnsi="Times New Roman"/>
                <w:sz w:val="28"/>
                <w:szCs w:val="28"/>
                <w:lang w:val="uk-UA"/>
              </w:rPr>
              <w:t>САК + адемол, 10 мг⁄кг в/ш</w:t>
            </w:r>
          </w:p>
        </w:tc>
        <w:tc>
          <w:tcPr>
            <w:tcW w:w="709"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10</w:t>
            </w:r>
            <w:r w:rsidRPr="00012F54">
              <w:rPr>
                <w:rFonts w:ascii="Times New Roman" w:hAnsi="Times New Roman"/>
                <w:sz w:val="28"/>
                <w:szCs w:val="28"/>
                <w:vertAlign w:val="superscript"/>
                <w:lang w:val="uk-UA"/>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10</w:t>
            </w:r>
            <w:r w:rsidRPr="00012F54">
              <w:rPr>
                <w:rFonts w:ascii="Times New Roman" w:hAnsi="Times New Roman"/>
                <w:sz w:val="28"/>
                <w:szCs w:val="28"/>
                <w:vertAlign w:val="superscript"/>
                <w:lang w:val="uk-UA"/>
              </w:rPr>
              <w:t>*#α&amp;1,5</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r w:rsidRPr="00012F54">
              <w:rPr>
                <w:rFonts w:ascii="Times New Roman" w:hAnsi="Times New Roman"/>
                <w:sz w:val="28"/>
                <w:szCs w:val="28"/>
                <w:vertAlign w:val="superscript"/>
                <w:lang w:val="uk-UA"/>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50º</w:t>
            </w:r>
            <w:r w:rsidRPr="00012F54">
              <w:rPr>
                <w:rFonts w:ascii="Times New Roman" w:hAnsi="Times New Roman"/>
                <w:sz w:val="28"/>
                <w:szCs w:val="28"/>
                <w:vertAlign w:val="superscript"/>
                <w:lang w:val="uk-UA"/>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70º</w:t>
            </w:r>
          </w:p>
        </w:tc>
      </w:tr>
      <w:tr w:rsidR="00012F54" w:rsidRPr="00012F54" w:rsidTr="00012F54">
        <w:trPr>
          <w:gridAfter w:val="1"/>
          <w:wAfter w:w="15" w:type="dxa"/>
          <w:trHeight w:val="370"/>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rPr>
                <w:rFonts w:ascii="Times New Roman" w:hAnsi="Times New Roman"/>
                <w:sz w:val="28"/>
                <w:szCs w:val="28"/>
              </w:rPr>
            </w:pPr>
            <w:r w:rsidRPr="00012F54">
              <w:rPr>
                <w:rFonts w:ascii="Times New Roman" w:hAnsi="Times New Roman"/>
                <w:sz w:val="28"/>
                <w:szCs w:val="28"/>
                <w:lang w:val="uk-UA"/>
              </w:rPr>
              <w:t>САК + адемол, 15 мг⁄кг в/ш</w:t>
            </w:r>
          </w:p>
        </w:tc>
        <w:tc>
          <w:tcPr>
            <w:tcW w:w="709"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30º</w:t>
            </w:r>
            <w:r w:rsidRPr="00012F54">
              <w:rPr>
                <w:rFonts w:ascii="Times New Roman" w:hAnsi="Times New Roman"/>
                <w:sz w:val="28"/>
                <w:szCs w:val="28"/>
                <w:vertAlign w:val="superscript"/>
                <w:lang w:val="uk-UA"/>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 º</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50º</w:t>
            </w:r>
            <w:r w:rsidRPr="00012F54">
              <w:rPr>
                <w:rFonts w:ascii="Times New Roman" w:hAnsi="Times New Roman"/>
                <w:sz w:val="28"/>
                <w:szCs w:val="28"/>
                <w:vertAlign w:val="superscript"/>
                <w:lang w:val="uk-UA"/>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 º</w:t>
            </w:r>
          </w:p>
        </w:tc>
        <w:tc>
          <w:tcPr>
            <w:tcW w:w="85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 º</w:t>
            </w:r>
          </w:p>
        </w:tc>
      </w:tr>
      <w:tr w:rsidR="00012F54" w:rsidRPr="00012F54" w:rsidTr="00012F54">
        <w:trPr>
          <w:gridAfter w:val="1"/>
          <w:wAfter w:w="15" w:type="dxa"/>
          <w:trHeight w:val="276"/>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rPr>
                <w:rFonts w:ascii="Times New Roman" w:hAnsi="Times New Roman"/>
                <w:sz w:val="28"/>
                <w:szCs w:val="28"/>
              </w:rPr>
            </w:pPr>
            <w:r w:rsidRPr="00012F54">
              <w:rPr>
                <w:rFonts w:ascii="Times New Roman" w:hAnsi="Times New Roman"/>
                <w:sz w:val="28"/>
                <w:szCs w:val="28"/>
                <w:lang w:val="uk-UA"/>
              </w:rPr>
              <w:t>САК + німодипін, 30 мкг/кг в/в</w:t>
            </w:r>
          </w:p>
        </w:tc>
        <w:tc>
          <w:tcPr>
            <w:tcW w:w="709"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20</w:t>
            </w:r>
            <w:r w:rsidRPr="00012F54">
              <w:rPr>
                <w:rFonts w:ascii="Times New Roman" w:hAnsi="Times New Roman"/>
                <w:sz w:val="28"/>
                <w:szCs w:val="28"/>
                <w:vertAlign w:val="superscript"/>
                <w:lang w:val="uk-UA"/>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r w:rsidRPr="00012F54">
              <w:rPr>
                <w:rFonts w:ascii="Times New Roman" w:hAnsi="Times New Roman"/>
                <w:sz w:val="28"/>
                <w:szCs w:val="28"/>
                <w:vertAlign w:val="superscript"/>
                <w:lang w:val="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r w:rsidRPr="00012F54">
              <w:rPr>
                <w:rFonts w:ascii="Times New Roman" w:hAnsi="Times New Roman"/>
                <w:sz w:val="28"/>
                <w:szCs w:val="28"/>
                <w:vertAlign w:val="superscript"/>
                <w:lang w:val="uk-UA"/>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50 º</w:t>
            </w:r>
            <w:r w:rsidRPr="00012F54">
              <w:rPr>
                <w:rFonts w:ascii="Times New Roman" w:hAnsi="Times New Roman"/>
                <w:sz w:val="28"/>
                <w:szCs w:val="28"/>
                <w:vertAlign w:val="superscript"/>
                <w:lang w:val="uk-UA"/>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 º</w:t>
            </w:r>
            <w:r w:rsidRPr="00012F54">
              <w:rPr>
                <w:rFonts w:ascii="Times New Roman" w:hAnsi="Times New Roman"/>
                <w:sz w:val="28"/>
                <w:szCs w:val="28"/>
                <w:vertAlign w:val="superscript"/>
                <w:lang w:val="uk-UA"/>
              </w:rPr>
              <w:t>*#</w:t>
            </w:r>
          </w:p>
        </w:tc>
      </w:tr>
      <w:tr w:rsidR="00012F54" w:rsidRPr="00012F54" w:rsidTr="00012F54">
        <w:trPr>
          <w:gridAfter w:val="1"/>
          <w:wAfter w:w="15" w:type="dxa"/>
          <w:trHeight w:val="70"/>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rPr>
                <w:rFonts w:ascii="Times New Roman" w:hAnsi="Times New Roman"/>
                <w:sz w:val="28"/>
                <w:szCs w:val="28"/>
              </w:rPr>
            </w:pPr>
            <w:r w:rsidRPr="00012F54">
              <w:rPr>
                <w:rFonts w:ascii="Times New Roman" w:hAnsi="Times New Roman"/>
                <w:sz w:val="28"/>
                <w:szCs w:val="28"/>
                <w:lang w:val="uk-UA"/>
              </w:rPr>
              <w:t>САК + німодипін, 60 мг/кг в/ш</w:t>
            </w:r>
          </w:p>
        </w:tc>
        <w:tc>
          <w:tcPr>
            <w:tcW w:w="709"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20</w:t>
            </w:r>
            <w:r w:rsidRPr="00012F54">
              <w:rPr>
                <w:rFonts w:ascii="Times New Roman" w:hAnsi="Times New Roman"/>
                <w:sz w:val="28"/>
                <w:szCs w:val="28"/>
                <w:vertAlign w:val="superscript"/>
                <w:lang w:val="uk-UA"/>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r w:rsidRPr="00012F54">
              <w:rPr>
                <w:rFonts w:ascii="Times New Roman" w:hAnsi="Times New Roman"/>
                <w:sz w:val="28"/>
                <w:szCs w:val="28"/>
                <w:vertAlign w:val="superscript"/>
                <w:lang w:val="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r w:rsidRPr="00012F54">
              <w:rPr>
                <w:rFonts w:ascii="Times New Roman" w:hAnsi="Times New Roman"/>
                <w:sz w:val="28"/>
                <w:szCs w:val="28"/>
                <w:vertAlign w:val="superscript"/>
                <w:lang w:val="uk-UA"/>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 º</w:t>
            </w:r>
            <w:r w:rsidRPr="00012F54">
              <w:rPr>
                <w:rFonts w:ascii="Times New Roman" w:hAnsi="Times New Roman"/>
                <w:sz w:val="28"/>
                <w:szCs w:val="28"/>
                <w:vertAlign w:val="superscript"/>
                <w:lang w:val="uk-UA"/>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60 º</w:t>
            </w:r>
            <w:r w:rsidRPr="00012F54">
              <w:rPr>
                <w:rFonts w:ascii="Times New Roman" w:hAnsi="Times New Roman"/>
                <w:sz w:val="28"/>
                <w:szCs w:val="28"/>
                <w:vertAlign w:val="superscript"/>
                <w:lang w:val="uk-UA"/>
              </w:rPr>
              <w:t>*#</w:t>
            </w:r>
          </w:p>
        </w:tc>
      </w:tr>
      <w:tr w:rsidR="00012F54" w:rsidRPr="00012F54" w:rsidTr="00012F54">
        <w:trPr>
          <w:gridAfter w:val="1"/>
          <w:wAfter w:w="15" w:type="dxa"/>
          <w:trHeight w:val="172"/>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rPr>
                <w:rFonts w:ascii="Times New Roman" w:hAnsi="Times New Roman"/>
                <w:sz w:val="28"/>
                <w:szCs w:val="28"/>
              </w:rPr>
            </w:pPr>
            <w:r w:rsidRPr="00012F54">
              <w:rPr>
                <w:rFonts w:ascii="Times New Roman" w:hAnsi="Times New Roman"/>
                <w:sz w:val="28"/>
                <w:szCs w:val="28"/>
                <w:lang w:val="uk-UA"/>
              </w:rPr>
              <w:t>САК+амантадину сульфат, 10 мг⁄кг</w:t>
            </w:r>
          </w:p>
        </w:tc>
        <w:tc>
          <w:tcPr>
            <w:tcW w:w="709"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20</w:t>
            </w:r>
            <w:r w:rsidRPr="00012F54">
              <w:rPr>
                <w:rFonts w:ascii="Times New Roman" w:hAnsi="Times New Roman"/>
                <w:sz w:val="28"/>
                <w:szCs w:val="28"/>
                <w:vertAlign w:val="superscript"/>
                <w:lang w:val="uk-UA"/>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r w:rsidRPr="00012F54">
              <w:rPr>
                <w:rFonts w:ascii="Times New Roman" w:hAnsi="Times New Roman"/>
                <w:sz w:val="28"/>
                <w:szCs w:val="28"/>
                <w:vertAlign w:val="superscript"/>
                <w:lang w:val="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40º</w:t>
            </w:r>
            <w:r w:rsidRPr="00012F54">
              <w:rPr>
                <w:rFonts w:ascii="Times New Roman" w:hAnsi="Times New Roman"/>
                <w:sz w:val="28"/>
                <w:szCs w:val="28"/>
                <w:vertAlign w:val="superscript"/>
                <w:lang w:val="uk-UA"/>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50º</w:t>
            </w:r>
            <w:r w:rsidRPr="00012F54">
              <w:rPr>
                <w:rFonts w:ascii="Times New Roman" w:hAnsi="Times New Roman"/>
                <w:sz w:val="28"/>
                <w:szCs w:val="28"/>
                <w:vertAlign w:val="superscript"/>
                <w:lang w:val="uk-UA"/>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80º</w:t>
            </w:r>
          </w:p>
        </w:tc>
      </w:tr>
      <w:tr w:rsidR="00012F54" w:rsidRPr="00012F54" w:rsidTr="00012F54">
        <w:trPr>
          <w:gridAfter w:val="1"/>
          <w:wAfter w:w="15" w:type="dxa"/>
          <w:trHeight w:val="261"/>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rPr>
                <w:rFonts w:ascii="Times New Roman" w:hAnsi="Times New Roman"/>
                <w:sz w:val="28"/>
                <w:szCs w:val="28"/>
              </w:rPr>
            </w:pPr>
            <w:r w:rsidRPr="00012F54">
              <w:rPr>
                <w:rFonts w:ascii="Times New Roman" w:hAnsi="Times New Roman"/>
                <w:sz w:val="28"/>
                <w:szCs w:val="28"/>
                <w:lang w:val="uk-UA"/>
              </w:rPr>
              <w:t>САК + магнію сульфат, 250 мг⁄кг</w:t>
            </w:r>
          </w:p>
        </w:tc>
        <w:tc>
          <w:tcPr>
            <w:tcW w:w="709"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60 º</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60 º</w:t>
            </w:r>
          </w:p>
        </w:tc>
        <w:tc>
          <w:tcPr>
            <w:tcW w:w="851"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 º</w:t>
            </w:r>
          </w:p>
        </w:tc>
        <w:tc>
          <w:tcPr>
            <w:tcW w:w="992"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 º</w:t>
            </w:r>
          </w:p>
        </w:tc>
        <w:tc>
          <w:tcPr>
            <w:tcW w:w="850" w:type="dxa"/>
            <w:tcBorders>
              <w:top w:val="single" w:sz="4" w:space="0" w:color="auto"/>
              <w:left w:val="single" w:sz="4" w:space="0" w:color="auto"/>
              <w:bottom w:val="single" w:sz="4" w:space="0" w:color="auto"/>
              <w:right w:val="single" w:sz="4" w:space="0" w:color="auto"/>
            </w:tcBorders>
            <w:vAlign w:val="center"/>
            <w:hideMark/>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90 º</w:t>
            </w:r>
          </w:p>
        </w:tc>
      </w:tr>
    </w:tbl>
    <w:p w:rsidR="00012F54" w:rsidRPr="00E93435" w:rsidRDefault="00012F54" w:rsidP="00012F54">
      <w:pPr>
        <w:widowControl w:val="0"/>
        <w:tabs>
          <w:tab w:val="left" w:pos="1080"/>
        </w:tabs>
        <w:spacing w:after="0" w:line="240" w:lineRule="auto"/>
        <w:jc w:val="both"/>
        <w:rPr>
          <w:rFonts w:ascii="Times New Roman" w:hAnsi="Times New Roman"/>
          <w:sz w:val="16"/>
          <w:szCs w:val="16"/>
          <w:lang w:val="uk-UA"/>
        </w:rPr>
      </w:pPr>
    </w:p>
    <w:p w:rsidR="00012F54" w:rsidRPr="00012F54" w:rsidRDefault="00012F54" w:rsidP="00B065B6">
      <w:pPr>
        <w:widowControl w:val="0"/>
        <w:tabs>
          <w:tab w:val="left" w:pos="108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Примітки: </w:t>
      </w:r>
    </w:p>
    <w:p w:rsidR="00012F54" w:rsidRPr="00012F54" w:rsidRDefault="00012F54" w:rsidP="00D17BD3">
      <w:pPr>
        <w:widowControl w:val="0"/>
        <w:tabs>
          <w:tab w:val="left" w:pos="1080"/>
        </w:tabs>
        <w:spacing w:after="0" w:line="360" w:lineRule="auto"/>
        <w:ind w:left="851"/>
        <w:jc w:val="both"/>
        <w:rPr>
          <w:rFonts w:ascii="Times New Roman" w:hAnsi="Times New Roman"/>
          <w:sz w:val="28"/>
          <w:szCs w:val="28"/>
          <w:lang w:val="uk-UA"/>
        </w:rPr>
      </w:pPr>
      <w:r w:rsidRPr="00012F54">
        <w:rPr>
          <w:rFonts w:ascii="Times New Roman" w:hAnsi="Times New Roman"/>
          <w:sz w:val="28"/>
          <w:szCs w:val="28"/>
          <w:lang w:val="uk-UA"/>
        </w:rPr>
        <w:t xml:space="preserve">1. º – р&lt;0,05 відносно псевдооперованих тварин; </w:t>
      </w:r>
    </w:p>
    <w:p w:rsidR="00012F54" w:rsidRPr="00012F54" w:rsidRDefault="00012F54" w:rsidP="00D17BD3">
      <w:pPr>
        <w:widowControl w:val="0"/>
        <w:tabs>
          <w:tab w:val="left" w:pos="1080"/>
        </w:tabs>
        <w:spacing w:after="0" w:line="360" w:lineRule="auto"/>
        <w:ind w:left="851"/>
        <w:jc w:val="both"/>
        <w:rPr>
          <w:rFonts w:ascii="Times New Roman" w:hAnsi="Times New Roman"/>
          <w:sz w:val="28"/>
          <w:szCs w:val="28"/>
          <w:lang w:val="uk-UA"/>
        </w:rPr>
      </w:pPr>
      <w:r w:rsidRPr="00012F54">
        <w:rPr>
          <w:rFonts w:ascii="Times New Roman" w:hAnsi="Times New Roman"/>
          <w:sz w:val="28"/>
          <w:szCs w:val="28"/>
          <w:lang w:val="uk-UA"/>
        </w:rPr>
        <w:t>2. * – р&lt;0,05 відносно контрольної патології;</w:t>
      </w:r>
    </w:p>
    <w:p w:rsidR="00012F54" w:rsidRPr="00012F54" w:rsidRDefault="00012F54" w:rsidP="00D17BD3">
      <w:pPr>
        <w:widowControl w:val="0"/>
        <w:tabs>
          <w:tab w:val="left" w:pos="1080"/>
        </w:tabs>
        <w:spacing w:after="0" w:line="360" w:lineRule="auto"/>
        <w:ind w:left="851"/>
        <w:jc w:val="both"/>
        <w:rPr>
          <w:rFonts w:ascii="Times New Roman" w:hAnsi="Times New Roman"/>
          <w:sz w:val="28"/>
          <w:szCs w:val="28"/>
          <w:lang w:val="uk-UA"/>
        </w:rPr>
      </w:pPr>
      <w:r w:rsidRPr="00012F54">
        <w:rPr>
          <w:rFonts w:ascii="Times New Roman" w:hAnsi="Times New Roman"/>
          <w:sz w:val="28"/>
          <w:szCs w:val="28"/>
          <w:lang w:val="uk-UA"/>
        </w:rPr>
        <w:t>3.</w:t>
      </w:r>
      <w:r w:rsidRPr="00012F54">
        <w:rPr>
          <w:rFonts w:ascii="Times New Roman" w:hAnsi="Times New Roman"/>
          <w:sz w:val="28"/>
          <w:szCs w:val="28"/>
          <w:vertAlign w:val="superscript"/>
          <w:lang w:val="uk-UA"/>
        </w:rPr>
        <w:t xml:space="preserve"> #</w:t>
      </w:r>
      <w:r w:rsidRPr="00012F54">
        <w:rPr>
          <w:rFonts w:ascii="Times New Roman" w:hAnsi="Times New Roman"/>
          <w:sz w:val="28"/>
          <w:szCs w:val="28"/>
          <w:lang w:val="uk-UA"/>
        </w:rPr>
        <w:t xml:space="preserve"> – р&lt;0,05 відносно магнію сульфату (250 мг/кг); </w:t>
      </w:r>
    </w:p>
    <w:p w:rsidR="00012F54" w:rsidRPr="00012F54" w:rsidRDefault="00012F54" w:rsidP="00D17BD3">
      <w:pPr>
        <w:widowControl w:val="0"/>
        <w:tabs>
          <w:tab w:val="left" w:pos="1080"/>
        </w:tabs>
        <w:spacing w:after="0" w:line="360" w:lineRule="auto"/>
        <w:ind w:left="851"/>
        <w:jc w:val="both"/>
        <w:rPr>
          <w:rFonts w:ascii="Times New Roman" w:hAnsi="Times New Roman"/>
          <w:sz w:val="28"/>
          <w:szCs w:val="28"/>
          <w:lang w:val="uk-UA"/>
        </w:rPr>
      </w:pPr>
      <w:r w:rsidRPr="00012F54">
        <w:rPr>
          <w:rFonts w:ascii="Times New Roman" w:hAnsi="Times New Roman"/>
          <w:sz w:val="28"/>
          <w:szCs w:val="28"/>
          <w:lang w:val="uk-UA"/>
        </w:rPr>
        <w:t xml:space="preserve">4. </w:t>
      </w:r>
      <w:r w:rsidRPr="00012F54">
        <w:rPr>
          <w:rFonts w:ascii="Times New Roman" w:hAnsi="Times New Roman"/>
          <w:sz w:val="28"/>
          <w:szCs w:val="28"/>
          <w:vertAlign w:val="superscript"/>
          <w:lang w:val="uk-UA"/>
        </w:rPr>
        <w:t xml:space="preserve">α </w:t>
      </w:r>
      <w:r w:rsidRPr="00012F54">
        <w:rPr>
          <w:rFonts w:ascii="Times New Roman" w:hAnsi="Times New Roman"/>
          <w:sz w:val="28"/>
          <w:szCs w:val="28"/>
          <w:lang w:val="uk-UA"/>
        </w:rPr>
        <w:t xml:space="preserve">– р&lt;0,05 відносно німодипіну (30 мкг/кг в/в); </w:t>
      </w:r>
    </w:p>
    <w:p w:rsidR="00012F54" w:rsidRPr="00012F54" w:rsidRDefault="00012F54" w:rsidP="00D17BD3">
      <w:pPr>
        <w:widowControl w:val="0"/>
        <w:tabs>
          <w:tab w:val="left" w:pos="1080"/>
        </w:tabs>
        <w:spacing w:after="0" w:line="360" w:lineRule="auto"/>
        <w:ind w:left="851"/>
        <w:jc w:val="both"/>
        <w:rPr>
          <w:rFonts w:ascii="Times New Roman" w:hAnsi="Times New Roman"/>
          <w:sz w:val="28"/>
          <w:szCs w:val="28"/>
          <w:lang w:val="uk-UA"/>
        </w:rPr>
      </w:pPr>
      <w:r w:rsidRPr="00012F54">
        <w:rPr>
          <w:rFonts w:ascii="Times New Roman" w:hAnsi="Times New Roman"/>
          <w:sz w:val="28"/>
          <w:szCs w:val="28"/>
          <w:lang w:val="uk-UA"/>
        </w:rPr>
        <w:t xml:space="preserve">6. </w:t>
      </w:r>
      <w:r w:rsidRPr="00012F54">
        <w:rPr>
          <w:rFonts w:ascii="Times New Roman" w:hAnsi="Times New Roman"/>
          <w:sz w:val="28"/>
          <w:szCs w:val="28"/>
          <w:vertAlign w:val="superscript"/>
          <w:lang w:val="uk-UA"/>
        </w:rPr>
        <w:t>&amp;</w:t>
      </w:r>
      <w:r w:rsidRPr="00012F54">
        <w:rPr>
          <w:rFonts w:ascii="Times New Roman" w:hAnsi="Times New Roman"/>
          <w:sz w:val="28"/>
          <w:szCs w:val="28"/>
          <w:lang w:val="uk-UA"/>
        </w:rPr>
        <w:t xml:space="preserve">– р&lt;0,05 відносно амантадину сульфату (10 мг/кг в/о); </w:t>
      </w:r>
    </w:p>
    <w:p w:rsidR="00012F54" w:rsidRPr="00012F54" w:rsidRDefault="00012F54" w:rsidP="00D17BD3">
      <w:pPr>
        <w:widowControl w:val="0"/>
        <w:tabs>
          <w:tab w:val="left" w:pos="1080"/>
        </w:tabs>
        <w:spacing w:after="0" w:line="360" w:lineRule="auto"/>
        <w:ind w:left="851"/>
        <w:jc w:val="both"/>
        <w:rPr>
          <w:rFonts w:ascii="Times New Roman" w:hAnsi="Times New Roman"/>
          <w:sz w:val="28"/>
          <w:szCs w:val="28"/>
          <w:lang w:val="uk-UA"/>
        </w:rPr>
      </w:pPr>
      <w:r w:rsidRPr="00012F54">
        <w:rPr>
          <w:rFonts w:ascii="Times New Roman" w:hAnsi="Times New Roman"/>
          <w:sz w:val="28"/>
          <w:szCs w:val="28"/>
          <w:lang w:val="uk-UA"/>
        </w:rPr>
        <w:t xml:space="preserve">7. </w:t>
      </w:r>
      <w:r w:rsidRPr="00012F54">
        <w:rPr>
          <w:rFonts w:ascii="Times New Roman" w:hAnsi="Times New Roman"/>
          <w:sz w:val="28"/>
          <w:szCs w:val="28"/>
          <w:vertAlign w:val="superscript"/>
          <w:lang w:val="uk-UA"/>
        </w:rPr>
        <w:t>1</w:t>
      </w:r>
      <w:r w:rsidRPr="00012F54">
        <w:rPr>
          <w:rFonts w:ascii="Times New Roman" w:hAnsi="Times New Roman"/>
          <w:sz w:val="28"/>
          <w:szCs w:val="28"/>
          <w:lang w:val="uk-UA"/>
        </w:rPr>
        <w:t xml:space="preserve"> – р&lt;0,05 відносно адемолу дозою 1 мг/кг; </w:t>
      </w:r>
    </w:p>
    <w:p w:rsidR="00012F54" w:rsidRPr="00012F54" w:rsidRDefault="00012F54" w:rsidP="00D17BD3">
      <w:pPr>
        <w:widowControl w:val="0"/>
        <w:tabs>
          <w:tab w:val="left" w:pos="1080"/>
        </w:tabs>
        <w:spacing w:after="0" w:line="360" w:lineRule="auto"/>
        <w:ind w:left="851"/>
        <w:jc w:val="both"/>
        <w:rPr>
          <w:rFonts w:ascii="Times New Roman" w:hAnsi="Times New Roman"/>
          <w:sz w:val="28"/>
          <w:szCs w:val="28"/>
          <w:lang w:val="uk-UA"/>
        </w:rPr>
      </w:pPr>
      <w:r w:rsidRPr="00012F54">
        <w:rPr>
          <w:rFonts w:ascii="Times New Roman" w:hAnsi="Times New Roman"/>
          <w:sz w:val="28"/>
          <w:szCs w:val="28"/>
          <w:lang w:val="uk-UA"/>
        </w:rPr>
        <w:t xml:space="preserve">8. </w:t>
      </w:r>
      <w:r w:rsidRPr="00012F54">
        <w:rPr>
          <w:rFonts w:ascii="Times New Roman" w:hAnsi="Times New Roman"/>
          <w:sz w:val="28"/>
          <w:szCs w:val="28"/>
          <w:vertAlign w:val="superscript"/>
          <w:lang w:val="uk-UA"/>
        </w:rPr>
        <w:t>5</w:t>
      </w:r>
      <w:r w:rsidRPr="00012F54">
        <w:rPr>
          <w:rFonts w:ascii="Times New Roman" w:hAnsi="Times New Roman"/>
          <w:sz w:val="28"/>
          <w:szCs w:val="28"/>
          <w:lang w:val="uk-UA"/>
        </w:rPr>
        <w:t xml:space="preserve"> – р&lt;0,05 відносно адемолу дозою 5 мг/кг;</w:t>
      </w:r>
    </w:p>
    <w:p w:rsidR="00012F54" w:rsidRPr="00012F54" w:rsidRDefault="00012F54" w:rsidP="00D17BD3">
      <w:pPr>
        <w:widowControl w:val="0"/>
        <w:tabs>
          <w:tab w:val="left" w:pos="1080"/>
        </w:tabs>
        <w:spacing w:after="0" w:line="360" w:lineRule="auto"/>
        <w:ind w:left="851"/>
        <w:jc w:val="both"/>
        <w:rPr>
          <w:rFonts w:ascii="Times New Roman" w:hAnsi="Times New Roman"/>
          <w:sz w:val="28"/>
          <w:szCs w:val="28"/>
          <w:lang w:val="uk-UA"/>
        </w:rPr>
      </w:pPr>
      <w:r w:rsidRPr="00012F54">
        <w:rPr>
          <w:rFonts w:ascii="Times New Roman" w:hAnsi="Times New Roman"/>
          <w:sz w:val="28"/>
          <w:szCs w:val="28"/>
          <w:lang w:val="uk-UA"/>
        </w:rPr>
        <w:lastRenderedPageBreak/>
        <w:t xml:space="preserve">9. </w:t>
      </w:r>
      <w:r w:rsidRPr="00012F54">
        <w:rPr>
          <w:rFonts w:ascii="Times New Roman" w:hAnsi="Times New Roman"/>
          <w:sz w:val="28"/>
          <w:szCs w:val="28"/>
          <w:lang w:val="en-US" w:eastAsia="en-US"/>
        </w:rPr>
        <w:t>n</w:t>
      </w:r>
      <w:r w:rsidRPr="00086D89">
        <w:rPr>
          <w:rFonts w:ascii="Times New Roman" w:hAnsi="Times New Roman"/>
          <w:sz w:val="28"/>
          <w:szCs w:val="28"/>
          <w:lang w:val="uk-UA" w:eastAsia="en-US"/>
        </w:rPr>
        <w:t xml:space="preserve"> – кількістьтварин в групі</w:t>
      </w:r>
      <w:r w:rsidRPr="00012F54">
        <w:rPr>
          <w:rFonts w:ascii="Times New Roman" w:hAnsi="Times New Roman"/>
          <w:sz w:val="28"/>
          <w:szCs w:val="28"/>
          <w:lang w:val="uk-UA" w:eastAsia="en-US"/>
        </w:rPr>
        <w:t>.</w:t>
      </w:r>
    </w:p>
    <w:p w:rsidR="00763508" w:rsidRDefault="00763508" w:rsidP="00763508">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Як засвідчують отримані результати, в умовах модельного САК адемол, так само, як і амантадину сульфат або німодипін, є носіями церебропротекторної активності, на що вказувало вірогідне зниження на тлі їх в/в інфузії показника летальності щурів відносно тварин групи контрольної патології. </w:t>
      </w:r>
    </w:p>
    <w:p w:rsidR="00763508" w:rsidRDefault="00763508" w:rsidP="00763508">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В останньому випадку (група контрольної патології), вже наприкінці першої доби після моделювання патології, зареєстрована летальність (30 %), котра носила достеменний характер та різнилась із групою псевдооперованих щурів, де смертність конкретно у даний часовий проміжок, а також в динаміці, не відмічалась. </w:t>
      </w:r>
    </w:p>
    <w:p w:rsidR="00D17BD3" w:rsidRPr="00012F54" w:rsidRDefault="00D17BD3" w:rsidP="00D17BD3">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Загалом, відсутність мортальних випадків після проведення оперативного втручання без послідуючого введення у САП ауто крові (група псевдооперованих щурів) вказує на гарну валідизацію методики та відсутність інтра- та післяопераційних ускладнень, зокрема гнійно-септичних, як найбільш частих при гострому досліді, супряженому із операцією.</w:t>
      </w:r>
    </w:p>
    <w:p w:rsidR="00012F54" w:rsidRPr="00012F54" w:rsidRDefault="00D17BD3" w:rsidP="00D17BD3">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Також відтворення САК в експериментальних умовах, яке було використано у даному дослідженні з мануальної та методологічної точки зору, є помірно складним, що дозволяє упродовж короткого проміжку часу (операційний світловий день) виконати значну кількість втручань, що є головним критерієм при формуванні дизайну при плануванні скринінгу (масовість експерименту та велика кількість тварин у групах). Таким чином, обрана методика відповідає вимогам з виявлення нових фармакодинамічних аспектів у лікарських засобів та біологічно-активних речовин </w:t>
      </w:r>
      <w:r w:rsidRPr="00012F54">
        <w:rPr>
          <w:rFonts w:ascii="Times New Roman" w:hAnsi="Times New Roman"/>
          <w:sz w:val="28"/>
          <w:szCs w:val="28"/>
        </w:rPr>
        <w:t>[154]</w:t>
      </w:r>
      <w:r w:rsidRPr="00012F54">
        <w:rPr>
          <w:rFonts w:ascii="Times New Roman" w:hAnsi="Times New Roman"/>
          <w:sz w:val="28"/>
          <w:szCs w:val="28"/>
          <w:lang w:val="uk-UA"/>
        </w:rPr>
        <w:t>.</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В наступний часовий проміжок після початку моделювання САК (36 год), у групі контрольної патології загинуло половина всіх дослідних тварин, із яких було сформовано цю групу (50 %), а вже станом на кінець другої доби експерименту (48 год) смертність була в межах 70 %, що перевершувало 50 % відсоткову позначку. Це можна вважати критичним часовим проміжком у розвитку даного патологічного стану і періодом, з яким варто порівнювати ефективність досліджуваних церебропротекторів.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На кінець п’ятої доби експериментального </w:t>
      </w:r>
      <w:r w:rsidRPr="00012F54">
        <w:rPr>
          <w:rFonts w:ascii="Times New Roman" w:hAnsi="Times New Roman"/>
          <w:color w:val="000000" w:themeColor="text1"/>
          <w:sz w:val="28"/>
          <w:szCs w:val="28"/>
          <w:lang w:val="uk-UA"/>
        </w:rPr>
        <w:t>ВЧК</w:t>
      </w:r>
      <w:r w:rsidRPr="00012F54">
        <w:rPr>
          <w:rFonts w:ascii="Times New Roman" w:hAnsi="Times New Roman"/>
          <w:sz w:val="28"/>
          <w:szCs w:val="28"/>
          <w:lang w:val="uk-UA"/>
        </w:rPr>
        <w:t xml:space="preserve"> по типу САК у групі контрольної патології залишилось 20 % тварин (80 % летальності).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lastRenderedPageBreak/>
        <w:t>Таким чином, дана модель супроводжується низькою виживаностю щурів із модельним ГПМК, що вказує на тяжкий перебіг даного типу інсульту та робить таку модель адекватною та репрезентативною для скринінгу перспективних церебропротекторів. Проте, використання такого методологічного підходу для послідуючого поглибленого вивчення механізмів, котрі лежать в основі захисного впливу обраних препаратів на мозок, ускладнено через значну летальність, що робить неможливим формування групи контрольної патології після п’ятої доби. Навіть станом на 96 год (четверта доба), внаслідок виживаності лише в межах 20 %, добрати групу тварин в кількості достатній для послідуючої адекватної статистичної обробки отриманих результатів важко, необхідно мати велику вибірку, вводити в експеримент додаткових щурів і даний термін є останнім, коли це зробити все ще можливо.</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Потужні, якісно відмінні при р&lt;0,05 від усіх референсних препаратів (німодипін, амантадину та манію сульфат) нейропротекторні властивості продемонстрував адемол дозою 2 мг/кг довенно.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Так, у критичний період експерименту (36 год), коли у групі контрольної патології загинуло більше половини тварин з експериментальним інсультом (70 %) летальність на тлі в/в інфузіїадемолу становила 10 %. Курсове введе</w:t>
      </w:r>
      <w:r w:rsidR="00A67DA9">
        <w:rPr>
          <w:rFonts w:ascii="Times New Roman" w:hAnsi="Times New Roman"/>
          <w:sz w:val="28"/>
          <w:szCs w:val="28"/>
          <w:lang w:val="uk-UA"/>
        </w:rPr>
        <w:t xml:space="preserve">ння адемолу упродовж п’яти діб </w:t>
      </w:r>
      <w:r w:rsidRPr="00012F54">
        <w:rPr>
          <w:rFonts w:ascii="Times New Roman" w:hAnsi="Times New Roman"/>
          <w:sz w:val="28"/>
          <w:szCs w:val="28"/>
          <w:lang w:val="uk-UA"/>
        </w:rPr>
        <w:t>з моменту відтворення патології дозою 2 мг/кг забезпечило зменшення леталь</w:t>
      </w:r>
      <w:r w:rsidR="00E93435">
        <w:rPr>
          <w:rFonts w:ascii="Times New Roman" w:hAnsi="Times New Roman"/>
          <w:sz w:val="28"/>
          <w:szCs w:val="28"/>
          <w:lang w:val="uk-UA"/>
        </w:rPr>
        <w:t>-</w:t>
      </w:r>
      <w:r w:rsidRPr="00012F54">
        <w:rPr>
          <w:rFonts w:ascii="Times New Roman" w:hAnsi="Times New Roman"/>
          <w:sz w:val="28"/>
          <w:szCs w:val="28"/>
          <w:lang w:val="uk-UA"/>
        </w:rPr>
        <w:t xml:space="preserve">ності щурів в кінці терміну спостереження відносно групи контрольної патології в середньому на 40 % (р&lt;0,05). Застосування з лікувальною метою адемолу дозами 1 та 5 мг/кг в/в виявилось достеменно менш ефективним порівняно із дозою 2 мг/кг.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Водночас варто зауважити, що адемол дозами 1 або 5 мг/кг на 36 год САК, також сприяв вірогідній деескалації летальності тварин в середньому на 30 %, достеменно поступаючись попередній дозі за виживаністю на третину (30 %). На п’яту добу інсульту, наприкінці терміну спостереження (120 год), введення адемолу дозами </w:t>
      </w:r>
      <w:r w:rsidR="00A67DA9">
        <w:rPr>
          <w:rFonts w:ascii="Times New Roman" w:hAnsi="Times New Roman"/>
          <w:sz w:val="28"/>
          <w:szCs w:val="28"/>
          <w:lang w:val="uk-UA"/>
        </w:rPr>
        <w:t xml:space="preserve">  відповідно 5 та 1 мг/кг, хоча і</w:t>
      </w:r>
      <w:r w:rsidRPr="00012F54">
        <w:rPr>
          <w:rFonts w:ascii="Times New Roman" w:hAnsi="Times New Roman"/>
          <w:sz w:val="28"/>
          <w:szCs w:val="28"/>
          <w:lang w:val="uk-UA"/>
        </w:rPr>
        <w:t xml:space="preserve"> супроводжувалось зменшення смертності тварин із САК відносно контролю, однак воно, на відміну від ефекту, який мав місце на тлі дози 2 мг/кг виявилось не достеменним (р&gt;0,05).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Таким чином</w:t>
      </w:r>
      <w:r w:rsidR="00233737">
        <w:rPr>
          <w:rFonts w:ascii="Times New Roman" w:hAnsi="Times New Roman"/>
          <w:sz w:val="28"/>
          <w:szCs w:val="28"/>
          <w:lang w:val="uk-UA"/>
        </w:rPr>
        <w:t xml:space="preserve">, аналізуючи ступінь </w:t>
      </w:r>
      <w:r w:rsidRPr="00012F54">
        <w:rPr>
          <w:rFonts w:ascii="Times New Roman" w:hAnsi="Times New Roman"/>
          <w:sz w:val="28"/>
          <w:szCs w:val="28"/>
          <w:lang w:val="uk-UA"/>
        </w:rPr>
        <w:t xml:space="preserve"> зниження летальності щурів із САК на тлі в/в </w:t>
      </w:r>
      <w:r w:rsidRPr="00012F54">
        <w:rPr>
          <w:rFonts w:ascii="Times New Roman" w:hAnsi="Times New Roman"/>
          <w:sz w:val="28"/>
          <w:szCs w:val="28"/>
          <w:lang w:val="uk-UA"/>
        </w:rPr>
        <w:lastRenderedPageBreak/>
        <w:t>інфузіїадемолу в різному діапазоні доз (1, 2 або 5 мг/кг) за цим критерієм можна зробити висновок, що найбільш виразна деескалація показника смертності тварин із даною патологією мало місце саме при його застосуванні саме дозою 2 мг/кг, яку можна вважати умовно-ефективною. Такою дозою, адемол за своїм фармакодинамічнимнейропротективним проявом (підвищення виживаності) вірогідно переважав німодипін і розчини амантадину та магнію сульфату в середньому на 30, 30 та 50%. Обидва згадані референсні препарати мали схожий профіль виживаності упродовж усього терміну спостереження і вірогідних відмінностей між собою у виживаності на тлі їх використання не виявлено. Так, у критичний період інсульту (48 год) летальність виявилась в межах 40 %, яка є достовірно вищою ніж на тлі адемолу умовно-ефективною дозою 2 мг/кг в середньому на 30 %. В подальші строки, нарізна терапія модельного інсульту об</w:t>
      </w:r>
      <w:r w:rsidR="0075259E">
        <w:rPr>
          <w:rFonts w:ascii="Times New Roman" w:hAnsi="Times New Roman"/>
          <w:sz w:val="28"/>
          <w:szCs w:val="28"/>
          <w:lang w:val="uk-UA"/>
        </w:rPr>
        <w:t>ома препаратами порівняння мала</w:t>
      </w:r>
      <w:r w:rsidRPr="00012F54">
        <w:rPr>
          <w:rFonts w:ascii="Times New Roman" w:hAnsi="Times New Roman"/>
          <w:sz w:val="28"/>
          <w:szCs w:val="28"/>
          <w:lang w:val="uk-UA"/>
        </w:rPr>
        <w:t xml:space="preserve"> аналогічну до критичного періоду картину, поступаючись адемолу в середньому на 10–20 %, при р&gt;0,05. Останній, </w:t>
      </w:r>
      <w:r w:rsidR="00233737">
        <w:rPr>
          <w:rFonts w:ascii="Times New Roman" w:hAnsi="Times New Roman"/>
          <w:sz w:val="28"/>
          <w:szCs w:val="28"/>
          <w:lang w:val="uk-UA"/>
        </w:rPr>
        <w:t xml:space="preserve"> за</w:t>
      </w:r>
      <w:r w:rsidRPr="00012F54">
        <w:rPr>
          <w:rFonts w:ascii="Times New Roman" w:hAnsi="Times New Roman"/>
          <w:sz w:val="28"/>
          <w:szCs w:val="28"/>
          <w:lang w:val="uk-UA"/>
        </w:rPr>
        <w:t xml:space="preserve"> своєю перевагою до кінця спостереження так і не сягнув вірогідної різниці.</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За критерієм виживаності, порівняно із іншим референсом – розчином магнію сульфатом</w:t>
      </w:r>
      <w:r w:rsidR="00880E3B">
        <w:rPr>
          <w:rFonts w:ascii="Times New Roman" w:hAnsi="Times New Roman"/>
          <w:sz w:val="28"/>
          <w:szCs w:val="28"/>
          <w:lang w:val="uk-UA"/>
        </w:rPr>
        <w:t>у</w:t>
      </w:r>
      <w:r w:rsidRPr="00012F54">
        <w:rPr>
          <w:rFonts w:ascii="Times New Roman" w:hAnsi="Times New Roman"/>
          <w:sz w:val="28"/>
          <w:szCs w:val="28"/>
          <w:lang w:val="uk-UA"/>
        </w:rPr>
        <w:t>, достеменна різниця мала місце на тлі адемолу, так само як і при терапії амантадином або німодипіном, що проявилось, починаючи з 36 год спостереження.</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Подібна перевага вказаних нейропротекторів над </w:t>
      </w:r>
      <w:r w:rsidR="00880E3B">
        <w:rPr>
          <w:rFonts w:ascii="Times New Roman" w:hAnsi="Times New Roman"/>
          <w:sz w:val="28"/>
          <w:szCs w:val="28"/>
          <w:lang w:val="uk-UA"/>
        </w:rPr>
        <w:t xml:space="preserve"> магнієм сульфату</w:t>
      </w:r>
      <w:r w:rsidRPr="00012F54">
        <w:rPr>
          <w:rFonts w:ascii="Times New Roman" w:hAnsi="Times New Roman"/>
          <w:sz w:val="28"/>
          <w:szCs w:val="28"/>
          <w:lang w:val="uk-UA"/>
        </w:rPr>
        <w:t xml:space="preserve"> зберігалась упродовж 72 год спостереження, після цього, в наступні часові проміжки їх дія мала відмінності. Т</w:t>
      </w:r>
      <w:r w:rsidR="00233737">
        <w:rPr>
          <w:rFonts w:ascii="Times New Roman" w:hAnsi="Times New Roman"/>
          <w:sz w:val="28"/>
          <w:szCs w:val="28"/>
          <w:lang w:val="uk-UA"/>
        </w:rPr>
        <w:t>ак,</w:t>
      </w:r>
      <w:r w:rsidRPr="00012F54">
        <w:rPr>
          <w:rFonts w:ascii="Times New Roman" w:hAnsi="Times New Roman"/>
          <w:sz w:val="28"/>
          <w:szCs w:val="28"/>
          <w:lang w:val="uk-UA"/>
        </w:rPr>
        <w:t xml:space="preserve"> в/в інфузіяадемолу забезпечила достеменні переваги над магнієм сульфатом, то розчин амантадину сульфату після третьої доби таких відмінностей не проявляв, а німодипін їх втратив на 96 год та знову їх набув вже вкінці спостереження.</w:t>
      </w:r>
    </w:p>
    <w:p w:rsidR="000615DD" w:rsidRPr="00012F54" w:rsidRDefault="00012F54" w:rsidP="00763508">
      <w:pPr>
        <w:widowControl w:val="0"/>
        <w:tabs>
          <w:tab w:val="left" w:pos="1276"/>
          <w:tab w:val="left" w:pos="1701"/>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Аналізуючи показник летальності в критичний період експерименту, для  демонстрації величини церебропротекторної активності адемолу умовно-ефективною дозою 2 мг/кг та обраних референсів, доцільним є побудова варіаційного ряду в якому той препарат проявляє найбільший захисний вплив на головний мозок, який знахо</w:t>
      </w:r>
      <w:r w:rsidR="00763508">
        <w:rPr>
          <w:rFonts w:ascii="Times New Roman" w:hAnsi="Times New Roman"/>
          <w:sz w:val="28"/>
          <w:szCs w:val="28"/>
          <w:lang w:val="uk-UA"/>
        </w:rPr>
        <w:t>-</w:t>
      </w:r>
      <w:r w:rsidRPr="00012F54">
        <w:rPr>
          <w:rFonts w:ascii="Times New Roman" w:hAnsi="Times New Roman"/>
          <w:sz w:val="28"/>
          <w:szCs w:val="28"/>
          <w:lang w:val="uk-UA"/>
        </w:rPr>
        <w:t>диться ближче до групи псевдооперованих тварин: варіаційний ряд виглядає на</w:t>
      </w:r>
      <w:r w:rsidR="00763508">
        <w:rPr>
          <w:rFonts w:ascii="Times New Roman" w:hAnsi="Times New Roman"/>
          <w:sz w:val="28"/>
          <w:szCs w:val="28"/>
          <w:lang w:val="uk-UA"/>
        </w:rPr>
        <w:t>-</w:t>
      </w:r>
      <w:r w:rsidRPr="00012F54">
        <w:rPr>
          <w:rFonts w:ascii="Times New Roman" w:hAnsi="Times New Roman"/>
          <w:sz w:val="28"/>
          <w:szCs w:val="28"/>
          <w:lang w:val="uk-UA"/>
        </w:rPr>
        <w:t xml:space="preserve">ступним чином: псевдооперовані щури&gt;адемол&gt;німодипін=амантадину сульфат&gt; магнію сульфат.Модельна </w:t>
      </w:r>
      <w:r w:rsidRPr="00012F54">
        <w:rPr>
          <w:rFonts w:ascii="Times New Roman" w:hAnsi="Times New Roman"/>
          <w:sz w:val="28"/>
          <w:szCs w:val="28"/>
          <w:lang w:val="uk-UA"/>
        </w:rPr>
        <w:lastRenderedPageBreak/>
        <w:t xml:space="preserve">інтрацеребральнагеморагія середнього ступеня важкості упродовж перших </w:t>
      </w:r>
      <w:r w:rsidR="00763508">
        <w:rPr>
          <w:rFonts w:ascii="Times New Roman" w:hAnsi="Times New Roman"/>
          <w:sz w:val="28"/>
          <w:szCs w:val="28"/>
          <w:lang w:val="uk-UA"/>
        </w:rPr>
        <w:t>4-х</w:t>
      </w:r>
      <w:r w:rsidRPr="00012F54">
        <w:rPr>
          <w:rFonts w:ascii="Times New Roman" w:hAnsi="Times New Roman"/>
          <w:sz w:val="28"/>
          <w:szCs w:val="28"/>
          <w:lang w:val="uk-UA"/>
        </w:rPr>
        <w:t xml:space="preserve"> ді</w:t>
      </w:r>
      <w:r w:rsidR="00233737">
        <w:rPr>
          <w:rFonts w:ascii="Times New Roman" w:hAnsi="Times New Roman"/>
          <w:sz w:val="28"/>
          <w:szCs w:val="28"/>
          <w:lang w:val="uk-UA"/>
        </w:rPr>
        <w:t>б експерименту супроводжувалась прогресуючим</w:t>
      </w:r>
      <w:r w:rsidRPr="00012F54">
        <w:rPr>
          <w:rFonts w:ascii="Times New Roman" w:hAnsi="Times New Roman"/>
          <w:sz w:val="28"/>
          <w:szCs w:val="28"/>
          <w:lang w:val="uk-UA"/>
        </w:rPr>
        <w:t xml:space="preserve"> зростанням показника летальності щ</w:t>
      </w:r>
      <w:r w:rsidR="00233737">
        <w:rPr>
          <w:rFonts w:ascii="Times New Roman" w:hAnsi="Times New Roman"/>
          <w:sz w:val="28"/>
          <w:szCs w:val="28"/>
          <w:lang w:val="uk-UA"/>
        </w:rPr>
        <w:t xml:space="preserve">урів. Отримані результати </w:t>
      </w:r>
      <w:r w:rsidRPr="00012F54">
        <w:rPr>
          <w:rFonts w:ascii="Times New Roman" w:hAnsi="Times New Roman"/>
          <w:sz w:val="28"/>
          <w:szCs w:val="28"/>
          <w:lang w:val="uk-UA"/>
        </w:rPr>
        <w:t xml:space="preserve"> співпадають із даними, що були встановлені іншими дослідниками при вивченні впливу різних об’ємів інтра</w:t>
      </w:r>
      <w:r w:rsidR="00763508">
        <w:rPr>
          <w:rFonts w:ascii="Times New Roman" w:hAnsi="Times New Roman"/>
          <w:sz w:val="28"/>
          <w:szCs w:val="28"/>
          <w:lang w:val="uk-UA"/>
        </w:rPr>
        <w:t>-</w:t>
      </w:r>
      <w:r w:rsidRPr="00012F54">
        <w:rPr>
          <w:rFonts w:ascii="Times New Roman" w:hAnsi="Times New Roman"/>
          <w:sz w:val="28"/>
          <w:szCs w:val="28"/>
          <w:lang w:val="uk-UA"/>
        </w:rPr>
        <w:t>церебрально введен</w:t>
      </w:r>
      <w:r w:rsidR="00233737">
        <w:rPr>
          <w:rFonts w:ascii="Times New Roman" w:hAnsi="Times New Roman"/>
          <w:sz w:val="28"/>
          <w:szCs w:val="28"/>
          <w:lang w:val="uk-UA"/>
        </w:rPr>
        <w:t>ої аутокрові на перебіг інсульту</w:t>
      </w:r>
      <w:r w:rsidRPr="00012F54">
        <w:rPr>
          <w:rFonts w:ascii="Times New Roman" w:hAnsi="Times New Roman"/>
          <w:sz w:val="28"/>
          <w:szCs w:val="28"/>
          <w:lang w:val="uk-UA"/>
        </w:rPr>
        <w:t xml:space="preserve"> у щурів [127, 154–156] (табл. 3.7). </w:t>
      </w:r>
    </w:p>
    <w:p w:rsidR="00012F54" w:rsidRPr="00012F54" w:rsidRDefault="00012F54" w:rsidP="00012F54">
      <w:pPr>
        <w:widowControl w:val="0"/>
        <w:tabs>
          <w:tab w:val="left" w:pos="1276"/>
        </w:tabs>
        <w:spacing w:after="0" w:line="360" w:lineRule="auto"/>
        <w:ind w:firstLine="284"/>
        <w:jc w:val="both"/>
        <w:rPr>
          <w:rFonts w:ascii="Times New Roman" w:hAnsi="Times New Roman"/>
          <w:sz w:val="28"/>
          <w:szCs w:val="28"/>
          <w:lang w:val="uk-UA"/>
        </w:rPr>
        <w:sectPr w:rsidR="00012F54" w:rsidRPr="00012F54" w:rsidSect="00020D33">
          <w:headerReference w:type="even" r:id="rId27"/>
          <w:headerReference w:type="default" r:id="rId28"/>
          <w:pgSz w:w="11906" w:h="16838"/>
          <w:pgMar w:top="980" w:right="567" w:bottom="960" w:left="1134" w:header="708" w:footer="708" w:gutter="0"/>
          <w:pgNumType w:start="1"/>
          <w:cols w:space="708"/>
          <w:titlePg/>
          <w:docGrid w:linePitch="360"/>
        </w:sectPr>
      </w:pPr>
    </w:p>
    <w:p w:rsidR="00012F54" w:rsidRPr="00012F54" w:rsidRDefault="00012F54" w:rsidP="00012F54">
      <w:pPr>
        <w:widowControl w:val="0"/>
        <w:spacing w:after="0" w:line="360" w:lineRule="auto"/>
        <w:ind w:firstLine="284"/>
        <w:jc w:val="right"/>
        <w:rPr>
          <w:rFonts w:ascii="Times New Roman" w:hAnsi="Times New Roman"/>
          <w:sz w:val="28"/>
          <w:szCs w:val="28"/>
          <w:lang w:val="uk-UA"/>
        </w:rPr>
      </w:pPr>
      <w:r w:rsidRPr="00012F54">
        <w:rPr>
          <w:rFonts w:ascii="Times New Roman" w:hAnsi="Times New Roman"/>
          <w:sz w:val="28"/>
          <w:szCs w:val="28"/>
          <w:lang w:val="uk-UA"/>
        </w:rPr>
        <w:lastRenderedPageBreak/>
        <w:t>Таблиця 3.7</w:t>
      </w: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 xml:space="preserve">Порівняльний вплив ефективності внутрішньовенної інфузіїадемолу, амантадину та магнію сульфату на динаміку летальності щурів із інтрацеребральноюгеморагією середнього ступеня важкості </w:t>
      </w:r>
    </w:p>
    <w:tbl>
      <w:tblPr>
        <w:tblW w:w="13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50"/>
        <w:gridCol w:w="1276"/>
        <w:gridCol w:w="1418"/>
        <w:gridCol w:w="1559"/>
        <w:gridCol w:w="1559"/>
        <w:gridCol w:w="1559"/>
      </w:tblGrid>
      <w:tr w:rsidR="00012F54" w:rsidRPr="00012F54" w:rsidTr="00406C17">
        <w:trPr>
          <w:trHeight w:val="274"/>
          <w:jc w:val="center"/>
        </w:trPr>
        <w:tc>
          <w:tcPr>
            <w:tcW w:w="6250" w:type="dxa"/>
            <w:vMerge w:val="restart"/>
            <w:shd w:val="clear" w:color="auto" w:fill="auto"/>
            <w:vAlign w:val="center"/>
          </w:tcPr>
          <w:p w:rsidR="00012F54" w:rsidRPr="00012F54" w:rsidRDefault="00012F54" w:rsidP="007342CD">
            <w:pPr>
              <w:widowControl w:val="0"/>
              <w:spacing w:before="60" w:after="60" w:line="24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Дослідні групи</w:t>
            </w:r>
          </w:p>
        </w:tc>
        <w:tc>
          <w:tcPr>
            <w:tcW w:w="7371" w:type="dxa"/>
            <w:gridSpan w:val="5"/>
            <w:tcBorders>
              <w:bottom w:val="single" w:sz="4" w:space="0" w:color="auto"/>
            </w:tcBorders>
            <w:shd w:val="clear" w:color="auto" w:fill="auto"/>
            <w:vAlign w:val="center"/>
          </w:tcPr>
          <w:p w:rsidR="00012F54" w:rsidRPr="00012F54" w:rsidRDefault="00012F54" w:rsidP="007342CD">
            <w:pPr>
              <w:widowControl w:val="0"/>
              <w:spacing w:before="60" w:after="60" w:line="24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Летальність, абс. / %, термін, год</w:t>
            </w:r>
          </w:p>
        </w:tc>
      </w:tr>
      <w:tr w:rsidR="00012F54" w:rsidRPr="00012F54" w:rsidTr="00406C17">
        <w:trPr>
          <w:trHeight w:val="225"/>
          <w:jc w:val="center"/>
        </w:trPr>
        <w:tc>
          <w:tcPr>
            <w:tcW w:w="6250" w:type="dxa"/>
            <w:vMerge/>
            <w:shd w:val="clear" w:color="auto" w:fill="auto"/>
            <w:vAlign w:val="center"/>
          </w:tcPr>
          <w:p w:rsidR="00012F54" w:rsidRPr="00012F54" w:rsidRDefault="00012F54" w:rsidP="007342CD">
            <w:pPr>
              <w:widowControl w:val="0"/>
              <w:spacing w:before="60" w:after="60" w:line="240" w:lineRule="auto"/>
              <w:ind w:firstLine="284"/>
              <w:jc w:val="center"/>
              <w:rPr>
                <w:rFonts w:ascii="Times New Roman" w:hAnsi="Times New Roman"/>
                <w:b/>
                <w:sz w:val="28"/>
                <w:szCs w:val="28"/>
                <w:lang w:val="uk-UA"/>
              </w:rPr>
            </w:pPr>
          </w:p>
        </w:tc>
        <w:tc>
          <w:tcPr>
            <w:tcW w:w="1276" w:type="dxa"/>
            <w:tcBorders>
              <w:top w:val="single" w:sz="4" w:space="0" w:color="auto"/>
              <w:right w:val="single" w:sz="4" w:space="0" w:color="auto"/>
            </w:tcBorders>
            <w:shd w:val="clear" w:color="auto" w:fill="auto"/>
            <w:vAlign w:val="center"/>
          </w:tcPr>
          <w:p w:rsidR="00012F54" w:rsidRPr="00012F54" w:rsidRDefault="00012F54" w:rsidP="007342CD">
            <w:pPr>
              <w:widowControl w:val="0"/>
              <w:spacing w:before="60" w:after="60" w:line="240" w:lineRule="auto"/>
              <w:ind w:firstLine="284"/>
              <w:jc w:val="center"/>
              <w:rPr>
                <w:rFonts w:ascii="Times New Roman" w:hAnsi="Times New Roman"/>
                <w:sz w:val="28"/>
                <w:szCs w:val="28"/>
                <w:lang w:val="uk-UA"/>
              </w:rPr>
            </w:pPr>
            <w:r w:rsidRPr="00012F54">
              <w:rPr>
                <w:rFonts w:ascii="Times New Roman" w:hAnsi="Times New Roman"/>
                <w:sz w:val="28"/>
                <w:szCs w:val="28"/>
                <w:lang w:val="uk-UA"/>
              </w:rPr>
              <w:t>12</w:t>
            </w:r>
          </w:p>
        </w:tc>
        <w:tc>
          <w:tcPr>
            <w:tcW w:w="1418" w:type="dxa"/>
            <w:tcBorders>
              <w:top w:val="single" w:sz="4" w:space="0" w:color="auto"/>
              <w:left w:val="single" w:sz="4" w:space="0" w:color="auto"/>
              <w:right w:val="single" w:sz="4" w:space="0" w:color="auto"/>
            </w:tcBorders>
            <w:shd w:val="clear" w:color="auto" w:fill="auto"/>
            <w:vAlign w:val="center"/>
          </w:tcPr>
          <w:p w:rsidR="00012F54" w:rsidRPr="00012F54" w:rsidRDefault="00012F54" w:rsidP="007342CD">
            <w:pPr>
              <w:widowControl w:val="0"/>
              <w:spacing w:before="60" w:after="60" w:line="240" w:lineRule="auto"/>
              <w:ind w:firstLine="284"/>
              <w:jc w:val="center"/>
              <w:rPr>
                <w:rFonts w:ascii="Times New Roman" w:hAnsi="Times New Roman"/>
                <w:sz w:val="28"/>
                <w:szCs w:val="28"/>
                <w:lang w:val="uk-UA"/>
              </w:rPr>
            </w:pPr>
            <w:r w:rsidRPr="00012F54">
              <w:rPr>
                <w:rFonts w:ascii="Times New Roman" w:hAnsi="Times New Roman"/>
                <w:sz w:val="28"/>
                <w:szCs w:val="28"/>
                <w:lang w:val="uk-UA"/>
              </w:rPr>
              <w:t>24</w:t>
            </w:r>
          </w:p>
        </w:tc>
        <w:tc>
          <w:tcPr>
            <w:tcW w:w="1559" w:type="dxa"/>
            <w:tcBorders>
              <w:top w:val="single" w:sz="4" w:space="0" w:color="auto"/>
              <w:left w:val="single" w:sz="4" w:space="0" w:color="auto"/>
              <w:right w:val="single" w:sz="4" w:space="0" w:color="auto"/>
            </w:tcBorders>
            <w:shd w:val="clear" w:color="auto" w:fill="auto"/>
            <w:vAlign w:val="center"/>
          </w:tcPr>
          <w:p w:rsidR="00012F54" w:rsidRPr="00012F54" w:rsidRDefault="00012F54" w:rsidP="007342CD">
            <w:pPr>
              <w:widowControl w:val="0"/>
              <w:spacing w:before="60" w:after="60" w:line="240" w:lineRule="auto"/>
              <w:ind w:firstLine="284"/>
              <w:jc w:val="center"/>
              <w:rPr>
                <w:rFonts w:ascii="Times New Roman" w:hAnsi="Times New Roman"/>
                <w:sz w:val="28"/>
                <w:szCs w:val="28"/>
                <w:lang w:val="uk-UA"/>
              </w:rPr>
            </w:pPr>
            <w:r w:rsidRPr="00012F54">
              <w:rPr>
                <w:rFonts w:ascii="Times New Roman" w:hAnsi="Times New Roman"/>
                <w:sz w:val="28"/>
                <w:szCs w:val="28"/>
                <w:lang w:val="uk-UA"/>
              </w:rPr>
              <w:t>48</w:t>
            </w:r>
          </w:p>
        </w:tc>
        <w:tc>
          <w:tcPr>
            <w:tcW w:w="1559" w:type="dxa"/>
            <w:tcBorders>
              <w:top w:val="single" w:sz="4" w:space="0" w:color="auto"/>
              <w:left w:val="single" w:sz="4" w:space="0" w:color="auto"/>
              <w:right w:val="single" w:sz="4" w:space="0" w:color="auto"/>
            </w:tcBorders>
            <w:shd w:val="clear" w:color="auto" w:fill="auto"/>
            <w:vAlign w:val="center"/>
          </w:tcPr>
          <w:p w:rsidR="00012F54" w:rsidRPr="00012F54" w:rsidRDefault="00012F54" w:rsidP="007342CD">
            <w:pPr>
              <w:widowControl w:val="0"/>
              <w:spacing w:before="60" w:after="60" w:line="240" w:lineRule="auto"/>
              <w:ind w:firstLine="284"/>
              <w:jc w:val="center"/>
              <w:rPr>
                <w:rFonts w:ascii="Times New Roman" w:hAnsi="Times New Roman"/>
                <w:sz w:val="28"/>
                <w:szCs w:val="28"/>
                <w:lang w:val="uk-UA"/>
              </w:rPr>
            </w:pPr>
            <w:r w:rsidRPr="00012F54">
              <w:rPr>
                <w:rFonts w:ascii="Times New Roman" w:hAnsi="Times New Roman"/>
                <w:sz w:val="28"/>
                <w:szCs w:val="28"/>
                <w:lang w:val="uk-UA"/>
              </w:rPr>
              <w:t>72</w:t>
            </w:r>
          </w:p>
        </w:tc>
        <w:tc>
          <w:tcPr>
            <w:tcW w:w="1559" w:type="dxa"/>
            <w:tcBorders>
              <w:top w:val="single" w:sz="4" w:space="0" w:color="auto"/>
              <w:left w:val="single" w:sz="4" w:space="0" w:color="auto"/>
            </w:tcBorders>
            <w:shd w:val="clear" w:color="auto" w:fill="auto"/>
            <w:vAlign w:val="center"/>
          </w:tcPr>
          <w:p w:rsidR="00012F54" w:rsidRPr="00012F54" w:rsidRDefault="00012F54" w:rsidP="007342CD">
            <w:pPr>
              <w:widowControl w:val="0"/>
              <w:spacing w:before="60" w:after="60" w:line="240" w:lineRule="auto"/>
              <w:ind w:firstLine="284"/>
              <w:jc w:val="center"/>
              <w:rPr>
                <w:rFonts w:ascii="Times New Roman" w:hAnsi="Times New Roman"/>
                <w:sz w:val="28"/>
                <w:szCs w:val="28"/>
                <w:lang w:val="uk-UA"/>
              </w:rPr>
            </w:pPr>
            <w:r w:rsidRPr="00012F54">
              <w:rPr>
                <w:rFonts w:ascii="Times New Roman" w:hAnsi="Times New Roman"/>
                <w:sz w:val="28"/>
                <w:szCs w:val="28"/>
                <w:lang w:val="uk-UA"/>
              </w:rPr>
              <w:t>96</w:t>
            </w:r>
          </w:p>
        </w:tc>
      </w:tr>
      <w:tr w:rsidR="00012F54" w:rsidRPr="00012F54" w:rsidTr="00406C17">
        <w:trPr>
          <w:jc w:val="center"/>
        </w:trPr>
        <w:tc>
          <w:tcPr>
            <w:tcW w:w="6250" w:type="dxa"/>
            <w:shd w:val="clear" w:color="auto" w:fill="auto"/>
            <w:vAlign w:val="center"/>
          </w:tcPr>
          <w:p w:rsidR="00012F54" w:rsidRPr="00012F54" w:rsidRDefault="00012F54" w:rsidP="007342CD">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Псевдооперовані тварини+ 0,9% NаСІ      (2 мл/кг) (n=30)</w:t>
            </w:r>
          </w:p>
        </w:tc>
        <w:tc>
          <w:tcPr>
            <w:tcW w:w="1276" w:type="dxa"/>
            <w:tcBorders>
              <w:righ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0/0%</w:t>
            </w:r>
          </w:p>
        </w:tc>
        <w:tc>
          <w:tcPr>
            <w:tcW w:w="1418" w:type="dxa"/>
            <w:tcBorders>
              <w:left w:val="single" w:sz="4" w:space="0" w:color="auto"/>
              <w:righ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0/0%</w:t>
            </w:r>
          </w:p>
        </w:tc>
        <w:tc>
          <w:tcPr>
            <w:tcW w:w="1559" w:type="dxa"/>
            <w:tcBorders>
              <w:left w:val="single" w:sz="4" w:space="0" w:color="auto"/>
              <w:righ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0/0%</w:t>
            </w:r>
          </w:p>
        </w:tc>
        <w:tc>
          <w:tcPr>
            <w:tcW w:w="1559" w:type="dxa"/>
            <w:tcBorders>
              <w:left w:val="single" w:sz="4" w:space="0" w:color="auto"/>
              <w:righ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0/0%</w:t>
            </w:r>
          </w:p>
        </w:tc>
        <w:tc>
          <w:tcPr>
            <w:tcW w:w="1559" w:type="dxa"/>
            <w:tcBorders>
              <w:lef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0/0%</w:t>
            </w:r>
          </w:p>
        </w:tc>
      </w:tr>
      <w:tr w:rsidR="00012F54" w:rsidRPr="00012F54" w:rsidTr="00406C17">
        <w:trPr>
          <w:jc w:val="center"/>
        </w:trPr>
        <w:tc>
          <w:tcPr>
            <w:tcW w:w="6250" w:type="dxa"/>
            <w:shd w:val="clear" w:color="auto" w:fill="auto"/>
            <w:vAlign w:val="center"/>
          </w:tcPr>
          <w:p w:rsidR="00012F54" w:rsidRPr="00012F54" w:rsidRDefault="00012F54" w:rsidP="007342CD">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І</w:t>
            </w:r>
            <w:r w:rsidRPr="00012F54">
              <w:rPr>
                <w:rFonts w:ascii="Times New Roman" w:hAnsi="Times New Roman"/>
                <w:sz w:val="28"/>
                <w:szCs w:val="28"/>
                <w:vertAlign w:val="subscript"/>
                <w:lang w:val="uk-UA"/>
              </w:rPr>
              <w:t>ВМК</w:t>
            </w:r>
            <w:r w:rsidRPr="00012F54">
              <w:rPr>
                <w:rFonts w:ascii="Times New Roman" w:hAnsi="Times New Roman"/>
                <w:sz w:val="28"/>
                <w:szCs w:val="28"/>
                <w:lang w:val="uk-UA"/>
              </w:rPr>
              <w:t xml:space="preserve"> + 0,9% NаСІ (2 мл/кг), </w:t>
            </w:r>
          </w:p>
          <w:p w:rsidR="00012F54" w:rsidRPr="00012F54" w:rsidRDefault="00012F54" w:rsidP="007342CD">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контрольна патологія (n=46)</w:t>
            </w:r>
          </w:p>
        </w:tc>
        <w:tc>
          <w:tcPr>
            <w:tcW w:w="1276"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4/8,7% º</w:t>
            </w:r>
          </w:p>
        </w:tc>
        <w:tc>
          <w:tcPr>
            <w:tcW w:w="1418"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8/17,4%º</w:t>
            </w:r>
          </w:p>
        </w:tc>
        <w:tc>
          <w:tcPr>
            <w:tcW w:w="1559"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10/21,7% º</w:t>
            </w:r>
          </w:p>
        </w:tc>
        <w:tc>
          <w:tcPr>
            <w:tcW w:w="1559" w:type="dxa"/>
            <w:tcBorders>
              <w:righ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12/26,1% º</w:t>
            </w:r>
          </w:p>
        </w:tc>
        <w:tc>
          <w:tcPr>
            <w:tcW w:w="1559" w:type="dxa"/>
            <w:tcBorders>
              <w:lef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14/30,4% º</w:t>
            </w:r>
          </w:p>
        </w:tc>
      </w:tr>
      <w:tr w:rsidR="00012F54" w:rsidRPr="00012F54" w:rsidTr="00406C17">
        <w:trPr>
          <w:jc w:val="center"/>
        </w:trPr>
        <w:tc>
          <w:tcPr>
            <w:tcW w:w="6250" w:type="dxa"/>
            <w:shd w:val="clear" w:color="auto" w:fill="auto"/>
            <w:vAlign w:val="center"/>
          </w:tcPr>
          <w:p w:rsidR="00012F54" w:rsidRPr="00012F54" w:rsidRDefault="00012F54" w:rsidP="007342CD">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ІІ</w:t>
            </w:r>
            <w:r w:rsidRPr="00012F54">
              <w:rPr>
                <w:rFonts w:ascii="Times New Roman" w:hAnsi="Times New Roman"/>
                <w:sz w:val="28"/>
                <w:szCs w:val="28"/>
                <w:vertAlign w:val="subscript"/>
                <w:lang w:val="uk-UA"/>
              </w:rPr>
              <w:t>ВМК</w:t>
            </w:r>
            <w:r w:rsidRPr="00012F54">
              <w:rPr>
                <w:rFonts w:ascii="Times New Roman" w:hAnsi="Times New Roman"/>
                <w:b/>
                <w:sz w:val="28"/>
                <w:szCs w:val="28"/>
                <w:lang w:val="uk-UA"/>
              </w:rPr>
              <w:t xml:space="preserve"> + </w:t>
            </w:r>
            <w:r w:rsidRPr="00012F54">
              <w:rPr>
                <w:rFonts w:ascii="Times New Roman" w:hAnsi="Times New Roman"/>
                <w:sz w:val="28"/>
                <w:szCs w:val="28"/>
                <w:lang w:val="uk-UA"/>
              </w:rPr>
              <w:t>адемол (2 мг⁄кг) (n=34)</w:t>
            </w:r>
          </w:p>
        </w:tc>
        <w:tc>
          <w:tcPr>
            <w:tcW w:w="1276"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0/0%</w:t>
            </w:r>
          </w:p>
        </w:tc>
        <w:tc>
          <w:tcPr>
            <w:tcW w:w="1418"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0/0%*</w:t>
            </w:r>
            <w:r w:rsidRPr="00012F54">
              <w:rPr>
                <w:rFonts w:ascii="Times New Roman" w:hAnsi="Times New Roman"/>
                <w:sz w:val="28"/>
                <w:szCs w:val="28"/>
                <w:vertAlign w:val="superscript"/>
                <w:lang w:val="uk-UA"/>
              </w:rPr>
              <w:t>#</w:t>
            </w:r>
          </w:p>
        </w:tc>
        <w:tc>
          <w:tcPr>
            <w:tcW w:w="1559"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0/0%*</w:t>
            </w:r>
            <w:r w:rsidRPr="00012F54">
              <w:rPr>
                <w:rFonts w:ascii="Times New Roman" w:hAnsi="Times New Roman"/>
                <w:sz w:val="28"/>
                <w:szCs w:val="28"/>
                <w:vertAlign w:val="superscript"/>
                <w:lang w:val="uk-UA"/>
              </w:rPr>
              <w:t>#&amp;</w:t>
            </w:r>
          </w:p>
        </w:tc>
        <w:tc>
          <w:tcPr>
            <w:tcW w:w="1559" w:type="dxa"/>
            <w:tcBorders>
              <w:righ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2/5,9% º*</w:t>
            </w:r>
            <w:r w:rsidRPr="00012F54">
              <w:rPr>
                <w:rFonts w:ascii="Times New Roman" w:hAnsi="Times New Roman"/>
                <w:sz w:val="28"/>
                <w:szCs w:val="28"/>
                <w:vertAlign w:val="superscript"/>
                <w:lang w:val="uk-UA"/>
              </w:rPr>
              <w:t>#</w:t>
            </w:r>
          </w:p>
        </w:tc>
        <w:tc>
          <w:tcPr>
            <w:tcW w:w="1559" w:type="dxa"/>
            <w:tcBorders>
              <w:lef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4/11,8%º*</w:t>
            </w:r>
            <w:r w:rsidRPr="00012F54">
              <w:rPr>
                <w:rFonts w:ascii="Times New Roman" w:hAnsi="Times New Roman"/>
                <w:sz w:val="28"/>
                <w:szCs w:val="28"/>
                <w:vertAlign w:val="superscript"/>
                <w:lang w:val="uk-UA"/>
              </w:rPr>
              <w:t>#</w:t>
            </w:r>
          </w:p>
        </w:tc>
      </w:tr>
      <w:tr w:rsidR="00012F54" w:rsidRPr="00012F54" w:rsidTr="00406C17">
        <w:trPr>
          <w:jc w:val="center"/>
        </w:trPr>
        <w:tc>
          <w:tcPr>
            <w:tcW w:w="6250" w:type="dxa"/>
            <w:shd w:val="clear" w:color="auto" w:fill="auto"/>
            <w:vAlign w:val="center"/>
          </w:tcPr>
          <w:p w:rsidR="00012F54" w:rsidRPr="00012F54" w:rsidRDefault="00012F54" w:rsidP="007342CD">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ІІІ</w:t>
            </w:r>
            <w:r w:rsidRPr="00012F54">
              <w:rPr>
                <w:rFonts w:ascii="Times New Roman" w:hAnsi="Times New Roman"/>
                <w:sz w:val="28"/>
                <w:szCs w:val="28"/>
                <w:vertAlign w:val="subscript"/>
                <w:lang w:val="uk-UA"/>
              </w:rPr>
              <w:t>ВМК</w:t>
            </w:r>
            <w:r w:rsidRPr="00012F54">
              <w:rPr>
                <w:rFonts w:ascii="Times New Roman" w:hAnsi="Times New Roman"/>
                <w:sz w:val="28"/>
                <w:szCs w:val="28"/>
                <w:lang w:val="uk-UA"/>
              </w:rPr>
              <w:t xml:space="preserve"> + німодипін(30 мкг⁄кг) (n=38)</w:t>
            </w:r>
          </w:p>
        </w:tc>
        <w:tc>
          <w:tcPr>
            <w:tcW w:w="1276"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0/0%*</w:t>
            </w:r>
            <w:r w:rsidRPr="00012F54">
              <w:rPr>
                <w:rFonts w:ascii="Times New Roman" w:hAnsi="Times New Roman"/>
                <w:sz w:val="28"/>
                <w:szCs w:val="28"/>
                <w:vertAlign w:val="superscript"/>
                <w:lang w:val="uk-UA"/>
              </w:rPr>
              <w:t>#</w:t>
            </w:r>
          </w:p>
        </w:tc>
        <w:tc>
          <w:tcPr>
            <w:tcW w:w="1418"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0/0%*</w:t>
            </w:r>
            <w:r w:rsidRPr="00012F54">
              <w:rPr>
                <w:rFonts w:ascii="Times New Roman" w:hAnsi="Times New Roman"/>
                <w:sz w:val="28"/>
                <w:szCs w:val="28"/>
                <w:vertAlign w:val="superscript"/>
                <w:lang w:val="uk-UA"/>
              </w:rPr>
              <w:t>#</w:t>
            </w:r>
          </w:p>
        </w:tc>
        <w:tc>
          <w:tcPr>
            <w:tcW w:w="1559"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3/7,9% º*</w:t>
            </w:r>
            <w:r w:rsidRPr="00012F54">
              <w:rPr>
                <w:rFonts w:ascii="Times New Roman" w:hAnsi="Times New Roman"/>
                <w:sz w:val="28"/>
                <w:szCs w:val="28"/>
                <w:vertAlign w:val="superscript"/>
                <w:lang w:val="uk-UA"/>
              </w:rPr>
              <w:t>#</w:t>
            </w:r>
          </w:p>
        </w:tc>
        <w:tc>
          <w:tcPr>
            <w:tcW w:w="1559" w:type="dxa"/>
            <w:tcBorders>
              <w:righ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4/10,5%º*</w:t>
            </w:r>
            <w:r w:rsidRPr="00012F54">
              <w:rPr>
                <w:rFonts w:ascii="Times New Roman" w:hAnsi="Times New Roman"/>
                <w:sz w:val="28"/>
                <w:szCs w:val="28"/>
                <w:vertAlign w:val="superscript"/>
                <w:lang w:val="uk-UA"/>
              </w:rPr>
              <w:t>#</w:t>
            </w:r>
          </w:p>
        </w:tc>
        <w:tc>
          <w:tcPr>
            <w:tcW w:w="1559" w:type="dxa"/>
            <w:tcBorders>
              <w:lef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5/13,2% º*</w:t>
            </w:r>
          </w:p>
        </w:tc>
      </w:tr>
      <w:tr w:rsidR="00012F54" w:rsidRPr="00012F54" w:rsidTr="00406C17">
        <w:trPr>
          <w:jc w:val="center"/>
        </w:trPr>
        <w:tc>
          <w:tcPr>
            <w:tcW w:w="6250" w:type="dxa"/>
            <w:shd w:val="clear" w:color="auto" w:fill="auto"/>
            <w:vAlign w:val="center"/>
          </w:tcPr>
          <w:p w:rsidR="00012F54" w:rsidRPr="00012F54" w:rsidRDefault="00012F54" w:rsidP="007342CD">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en-US"/>
              </w:rPr>
              <w:t>IV</w:t>
            </w:r>
            <w:r w:rsidRPr="00012F54">
              <w:rPr>
                <w:rFonts w:ascii="Times New Roman" w:hAnsi="Times New Roman"/>
                <w:sz w:val="28"/>
                <w:szCs w:val="28"/>
                <w:vertAlign w:val="subscript"/>
                <w:lang w:val="uk-UA"/>
              </w:rPr>
              <w:t>ВМК</w:t>
            </w:r>
            <w:r w:rsidRPr="00012F54">
              <w:rPr>
                <w:rFonts w:ascii="Times New Roman" w:hAnsi="Times New Roman"/>
                <w:sz w:val="28"/>
                <w:szCs w:val="28"/>
                <w:lang w:val="uk-UA"/>
              </w:rPr>
              <w:t xml:space="preserve"> + амантадину сульфат (10 мг⁄кг) (n=47)</w:t>
            </w:r>
          </w:p>
        </w:tc>
        <w:tc>
          <w:tcPr>
            <w:tcW w:w="1276"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0/0%*</w:t>
            </w:r>
            <w:r w:rsidRPr="00012F54">
              <w:rPr>
                <w:rFonts w:ascii="Times New Roman" w:hAnsi="Times New Roman"/>
                <w:sz w:val="28"/>
                <w:szCs w:val="28"/>
                <w:vertAlign w:val="superscript"/>
                <w:lang w:val="uk-UA"/>
              </w:rPr>
              <w:t>#</w:t>
            </w:r>
          </w:p>
        </w:tc>
        <w:tc>
          <w:tcPr>
            <w:tcW w:w="1418"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1/6,4%*</w:t>
            </w:r>
            <w:r w:rsidRPr="00012F54">
              <w:rPr>
                <w:rFonts w:ascii="Times New Roman" w:hAnsi="Times New Roman"/>
                <w:sz w:val="28"/>
                <w:szCs w:val="28"/>
                <w:vertAlign w:val="superscript"/>
                <w:lang w:val="uk-UA"/>
              </w:rPr>
              <w:t>#</w:t>
            </w:r>
          </w:p>
        </w:tc>
        <w:tc>
          <w:tcPr>
            <w:tcW w:w="1559"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4/8,5% º*</w:t>
            </w:r>
            <w:r w:rsidRPr="00012F54">
              <w:rPr>
                <w:rFonts w:ascii="Times New Roman" w:hAnsi="Times New Roman"/>
                <w:sz w:val="28"/>
                <w:szCs w:val="28"/>
                <w:vertAlign w:val="superscript"/>
                <w:lang w:val="uk-UA"/>
              </w:rPr>
              <w:t>#</w:t>
            </w:r>
          </w:p>
        </w:tc>
        <w:tc>
          <w:tcPr>
            <w:tcW w:w="1559" w:type="dxa"/>
            <w:tcBorders>
              <w:righ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7/21,1% º*</w:t>
            </w:r>
          </w:p>
        </w:tc>
        <w:tc>
          <w:tcPr>
            <w:tcW w:w="1559" w:type="dxa"/>
            <w:tcBorders>
              <w:lef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8/21,1% º</w:t>
            </w:r>
          </w:p>
        </w:tc>
      </w:tr>
      <w:tr w:rsidR="00012F54" w:rsidRPr="00012F54" w:rsidTr="00406C17">
        <w:trPr>
          <w:jc w:val="center"/>
        </w:trPr>
        <w:tc>
          <w:tcPr>
            <w:tcW w:w="6250" w:type="dxa"/>
            <w:shd w:val="clear" w:color="auto" w:fill="auto"/>
            <w:vAlign w:val="center"/>
          </w:tcPr>
          <w:p w:rsidR="00012F54" w:rsidRPr="00012F54" w:rsidRDefault="00012F54" w:rsidP="007342CD">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en-US"/>
              </w:rPr>
              <w:t>V</w:t>
            </w:r>
            <w:r w:rsidRPr="00012F54">
              <w:rPr>
                <w:rFonts w:ascii="Times New Roman" w:hAnsi="Times New Roman"/>
                <w:sz w:val="28"/>
                <w:szCs w:val="28"/>
                <w:vertAlign w:val="subscript"/>
                <w:lang w:val="uk-UA"/>
              </w:rPr>
              <w:t>ВМК</w:t>
            </w:r>
            <w:r w:rsidRPr="00012F54">
              <w:rPr>
                <w:rFonts w:ascii="Times New Roman" w:hAnsi="Times New Roman"/>
                <w:sz w:val="28"/>
                <w:szCs w:val="28"/>
                <w:lang w:val="uk-UA"/>
              </w:rPr>
              <w:t xml:space="preserve"> + магнію сульфат (250 мг⁄кг) (n=41)</w:t>
            </w:r>
          </w:p>
        </w:tc>
        <w:tc>
          <w:tcPr>
            <w:tcW w:w="1276"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2/4,9% º</w:t>
            </w:r>
          </w:p>
        </w:tc>
        <w:tc>
          <w:tcPr>
            <w:tcW w:w="1418"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6/14,6% º</w:t>
            </w:r>
          </w:p>
        </w:tc>
        <w:tc>
          <w:tcPr>
            <w:tcW w:w="1559" w:type="dxa"/>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9/22% º</w:t>
            </w:r>
          </w:p>
        </w:tc>
        <w:tc>
          <w:tcPr>
            <w:tcW w:w="1559" w:type="dxa"/>
            <w:tcBorders>
              <w:righ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10/24,4% º</w:t>
            </w:r>
          </w:p>
        </w:tc>
        <w:tc>
          <w:tcPr>
            <w:tcW w:w="1559" w:type="dxa"/>
            <w:tcBorders>
              <w:left w:val="single" w:sz="4" w:space="0" w:color="auto"/>
            </w:tcBorders>
            <w:shd w:val="clear" w:color="auto" w:fill="auto"/>
            <w:vAlign w:val="center"/>
          </w:tcPr>
          <w:p w:rsidR="00012F54" w:rsidRPr="00012F54" w:rsidRDefault="00012F54" w:rsidP="007342CD">
            <w:pPr>
              <w:widowControl w:val="0"/>
              <w:spacing w:before="60" w:after="60" w:line="240" w:lineRule="auto"/>
              <w:jc w:val="center"/>
              <w:rPr>
                <w:rFonts w:ascii="Times New Roman" w:hAnsi="Times New Roman"/>
                <w:b/>
                <w:sz w:val="28"/>
                <w:szCs w:val="28"/>
                <w:lang w:val="uk-UA"/>
              </w:rPr>
            </w:pPr>
            <w:r w:rsidRPr="00012F54">
              <w:rPr>
                <w:rFonts w:ascii="Times New Roman" w:hAnsi="Times New Roman"/>
                <w:sz w:val="28"/>
                <w:szCs w:val="28"/>
                <w:lang w:val="uk-UA"/>
              </w:rPr>
              <w:t>11/27,5% º</w:t>
            </w:r>
          </w:p>
        </w:tc>
      </w:tr>
    </w:tbl>
    <w:p w:rsidR="00012F54" w:rsidRPr="00012F54" w:rsidRDefault="00012F54" w:rsidP="00012F54">
      <w:pPr>
        <w:widowControl w:val="0"/>
        <w:tabs>
          <w:tab w:val="left" w:pos="1080"/>
        </w:tabs>
        <w:spacing w:after="0" w:line="240" w:lineRule="auto"/>
        <w:ind w:firstLine="284"/>
        <w:jc w:val="both"/>
        <w:rPr>
          <w:rFonts w:ascii="Times New Roman" w:hAnsi="Times New Roman"/>
          <w:sz w:val="28"/>
          <w:szCs w:val="28"/>
          <w:lang w:val="uk-UA"/>
        </w:rPr>
      </w:pPr>
    </w:p>
    <w:p w:rsidR="00012F54" w:rsidRPr="00012F54" w:rsidRDefault="00012F54" w:rsidP="00012F54">
      <w:pPr>
        <w:widowControl w:val="0"/>
        <w:tabs>
          <w:tab w:val="left" w:pos="1080"/>
        </w:tabs>
        <w:spacing w:after="0" w:line="240" w:lineRule="auto"/>
        <w:ind w:firstLine="284"/>
        <w:jc w:val="both"/>
        <w:rPr>
          <w:rFonts w:ascii="Times New Roman" w:hAnsi="Times New Roman"/>
          <w:sz w:val="28"/>
          <w:szCs w:val="28"/>
          <w:lang w:val="uk-UA"/>
        </w:rPr>
      </w:pPr>
      <w:r w:rsidRPr="00012F54">
        <w:rPr>
          <w:rFonts w:ascii="Times New Roman" w:hAnsi="Times New Roman"/>
          <w:sz w:val="28"/>
          <w:szCs w:val="28"/>
          <w:lang w:val="uk-UA"/>
        </w:rPr>
        <w:t>Примітки:</w:t>
      </w:r>
    </w:p>
    <w:p w:rsidR="00012F54" w:rsidRPr="00012F54" w:rsidRDefault="00012F54" w:rsidP="00012F54">
      <w:pPr>
        <w:widowControl w:val="0"/>
        <w:tabs>
          <w:tab w:val="left" w:pos="1080"/>
        </w:tabs>
        <w:spacing w:after="0" w:line="240" w:lineRule="auto"/>
        <w:ind w:left="284" w:firstLine="284"/>
        <w:jc w:val="both"/>
        <w:rPr>
          <w:rFonts w:ascii="Times New Roman" w:hAnsi="Times New Roman"/>
          <w:sz w:val="28"/>
          <w:szCs w:val="28"/>
          <w:lang w:val="uk-UA"/>
        </w:rPr>
      </w:pPr>
    </w:p>
    <w:p w:rsidR="00012F54" w:rsidRPr="00012F54" w:rsidRDefault="00012F54" w:rsidP="00012F54">
      <w:pPr>
        <w:widowControl w:val="0"/>
        <w:numPr>
          <w:ilvl w:val="0"/>
          <w:numId w:val="5"/>
        </w:numPr>
        <w:tabs>
          <w:tab w:val="left" w:pos="567"/>
          <w:tab w:val="left" w:pos="851"/>
        </w:tabs>
        <w:spacing w:after="0" w:line="360" w:lineRule="auto"/>
        <w:ind w:left="284" w:firstLine="284"/>
        <w:jc w:val="both"/>
        <w:rPr>
          <w:rFonts w:ascii="Times New Roman" w:hAnsi="Times New Roman"/>
          <w:sz w:val="28"/>
          <w:szCs w:val="28"/>
          <w:lang w:val="uk-UA"/>
        </w:rPr>
      </w:pPr>
      <w:r w:rsidRPr="00012F54">
        <w:rPr>
          <w:rFonts w:ascii="Times New Roman" w:hAnsi="Times New Roman"/>
          <w:sz w:val="28"/>
          <w:szCs w:val="28"/>
          <w:lang w:val="uk-UA"/>
        </w:rPr>
        <w:t>º – р&lt;0,05 відносно псевдооперованих тварин;</w:t>
      </w:r>
    </w:p>
    <w:p w:rsidR="00012F54" w:rsidRPr="00012F54" w:rsidRDefault="00406C17" w:rsidP="00012F54">
      <w:pPr>
        <w:widowControl w:val="0"/>
        <w:tabs>
          <w:tab w:val="left" w:pos="1276"/>
        </w:tabs>
        <w:spacing w:after="0" w:line="360" w:lineRule="auto"/>
        <w:ind w:left="284" w:firstLine="284"/>
        <w:jc w:val="both"/>
        <w:rPr>
          <w:rFonts w:ascii="Times New Roman" w:hAnsi="Times New Roman"/>
          <w:sz w:val="28"/>
          <w:szCs w:val="28"/>
          <w:lang w:val="uk-UA"/>
        </w:rPr>
      </w:pPr>
      <w:r>
        <w:rPr>
          <w:rFonts w:ascii="Times New Roman" w:hAnsi="Times New Roman"/>
          <w:sz w:val="28"/>
          <w:szCs w:val="28"/>
          <w:lang w:val="uk-UA"/>
        </w:rPr>
        <w:t>2</w:t>
      </w:r>
      <w:r w:rsidR="00012F54" w:rsidRPr="00012F54">
        <w:rPr>
          <w:rFonts w:ascii="Times New Roman" w:hAnsi="Times New Roman"/>
          <w:sz w:val="28"/>
          <w:szCs w:val="28"/>
          <w:lang w:val="uk-UA"/>
        </w:rPr>
        <w:t>.* – р&lt;0,05 відносно контролю;</w:t>
      </w:r>
    </w:p>
    <w:p w:rsidR="00012F54" w:rsidRPr="00012F54" w:rsidRDefault="00406C17" w:rsidP="00012F54">
      <w:pPr>
        <w:widowControl w:val="0"/>
        <w:tabs>
          <w:tab w:val="left" w:pos="1276"/>
        </w:tabs>
        <w:spacing w:after="0" w:line="360" w:lineRule="auto"/>
        <w:ind w:left="284" w:firstLine="284"/>
        <w:rPr>
          <w:rFonts w:ascii="Times New Roman" w:hAnsi="Times New Roman"/>
          <w:sz w:val="28"/>
          <w:szCs w:val="28"/>
          <w:lang w:val="uk-UA"/>
        </w:rPr>
      </w:pPr>
      <w:r>
        <w:rPr>
          <w:rFonts w:ascii="Times New Roman" w:hAnsi="Times New Roman"/>
          <w:sz w:val="28"/>
          <w:szCs w:val="28"/>
          <w:lang w:val="uk-UA"/>
        </w:rPr>
        <w:t>3</w:t>
      </w:r>
      <w:r w:rsidR="00012F54" w:rsidRPr="00012F54">
        <w:rPr>
          <w:rFonts w:ascii="Times New Roman" w:hAnsi="Times New Roman"/>
          <w:sz w:val="28"/>
          <w:szCs w:val="28"/>
          <w:lang w:val="uk-UA"/>
        </w:rPr>
        <w:t xml:space="preserve">. </w:t>
      </w:r>
      <w:r w:rsidR="00012F54" w:rsidRPr="00012F54">
        <w:rPr>
          <w:rFonts w:ascii="Times New Roman" w:hAnsi="Times New Roman"/>
          <w:sz w:val="28"/>
          <w:szCs w:val="28"/>
          <w:vertAlign w:val="superscript"/>
          <w:lang w:val="uk-UA"/>
        </w:rPr>
        <w:t xml:space="preserve"># </w:t>
      </w:r>
      <w:r w:rsidR="00012F54" w:rsidRPr="00012F54">
        <w:rPr>
          <w:rFonts w:ascii="Times New Roman" w:hAnsi="Times New Roman"/>
          <w:sz w:val="28"/>
          <w:szCs w:val="28"/>
          <w:lang w:val="uk-UA"/>
        </w:rPr>
        <w:t>– р&lt;0,05 відносно магнію сульфату (250 мг/кг в/о);</w:t>
      </w:r>
    </w:p>
    <w:p w:rsidR="00012F54" w:rsidRPr="00012F54" w:rsidRDefault="00406C17" w:rsidP="00012F54">
      <w:pPr>
        <w:widowControl w:val="0"/>
        <w:tabs>
          <w:tab w:val="left" w:pos="1276"/>
        </w:tabs>
        <w:spacing w:after="0" w:line="360" w:lineRule="auto"/>
        <w:ind w:left="284" w:firstLine="284"/>
        <w:jc w:val="both"/>
        <w:rPr>
          <w:rFonts w:ascii="Times New Roman" w:hAnsi="Times New Roman"/>
          <w:sz w:val="28"/>
          <w:szCs w:val="28"/>
          <w:lang w:val="uk-UA"/>
        </w:rPr>
      </w:pPr>
      <w:r>
        <w:rPr>
          <w:rFonts w:ascii="Times New Roman" w:hAnsi="Times New Roman"/>
          <w:sz w:val="28"/>
          <w:szCs w:val="28"/>
          <w:lang w:val="uk-UA"/>
        </w:rPr>
        <w:t>4</w:t>
      </w:r>
      <w:r w:rsidR="00012F54" w:rsidRPr="00012F54">
        <w:rPr>
          <w:rFonts w:ascii="Times New Roman" w:hAnsi="Times New Roman"/>
          <w:sz w:val="28"/>
          <w:szCs w:val="28"/>
          <w:lang w:val="uk-UA"/>
        </w:rPr>
        <w:t xml:space="preserve">. </w:t>
      </w:r>
      <w:r w:rsidR="00012F54" w:rsidRPr="00012F54">
        <w:rPr>
          <w:rFonts w:ascii="Times New Roman" w:hAnsi="Times New Roman"/>
          <w:sz w:val="28"/>
          <w:szCs w:val="28"/>
          <w:vertAlign w:val="superscript"/>
          <w:lang w:val="uk-UA"/>
        </w:rPr>
        <w:t>&amp;</w:t>
      </w:r>
      <w:r w:rsidR="00012F54" w:rsidRPr="00012F54">
        <w:rPr>
          <w:rFonts w:ascii="Times New Roman" w:hAnsi="Times New Roman"/>
          <w:sz w:val="28"/>
          <w:szCs w:val="28"/>
          <w:lang w:val="uk-UA"/>
        </w:rPr>
        <w:t>– р&lt;0,05 відносно амантадину сульфату (10 мг/кг в/о);</w:t>
      </w:r>
    </w:p>
    <w:p w:rsidR="00012F54" w:rsidRPr="00012F54" w:rsidRDefault="006A597E" w:rsidP="00012F54">
      <w:pPr>
        <w:widowControl w:val="0"/>
        <w:tabs>
          <w:tab w:val="left" w:pos="1276"/>
        </w:tabs>
        <w:spacing w:after="0" w:line="360" w:lineRule="auto"/>
        <w:ind w:left="284" w:firstLine="284"/>
        <w:jc w:val="both"/>
        <w:rPr>
          <w:rFonts w:ascii="Times New Roman" w:hAnsi="Times New Roman"/>
          <w:sz w:val="28"/>
          <w:szCs w:val="28"/>
          <w:lang w:val="uk-UA"/>
        </w:rPr>
      </w:pPr>
      <w:r>
        <w:rPr>
          <w:rFonts w:ascii="Times New Roman" w:hAnsi="Times New Roman"/>
          <w:sz w:val="28"/>
          <w:szCs w:val="28"/>
          <w:lang w:val="uk-UA"/>
        </w:rPr>
        <w:t>5</w:t>
      </w:r>
      <w:r w:rsidR="00012F54" w:rsidRPr="00012F54">
        <w:rPr>
          <w:rFonts w:ascii="Times New Roman" w:hAnsi="Times New Roman"/>
          <w:sz w:val="28"/>
          <w:szCs w:val="28"/>
          <w:lang w:val="uk-UA"/>
        </w:rPr>
        <w:t xml:space="preserve">. </w:t>
      </w:r>
      <w:r w:rsidR="00012F54" w:rsidRPr="00012F54">
        <w:rPr>
          <w:rFonts w:ascii="Times New Roman" w:hAnsi="Times New Roman"/>
          <w:sz w:val="28"/>
          <w:szCs w:val="28"/>
          <w:lang w:val="en-US" w:eastAsia="en-US"/>
        </w:rPr>
        <w:t>n</w:t>
      </w:r>
      <w:r w:rsidR="00012F54" w:rsidRPr="00012F54">
        <w:rPr>
          <w:rFonts w:ascii="Times New Roman" w:hAnsi="Times New Roman"/>
          <w:sz w:val="28"/>
          <w:szCs w:val="28"/>
          <w:lang w:eastAsia="en-US"/>
        </w:rPr>
        <w:t xml:space="preserve"> – кількістьтварин в групі</w:t>
      </w:r>
      <w:r w:rsidR="00012F54" w:rsidRPr="00012F54">
        <w:rPr>
          <w:rFonts w:ascii="Times New Roman" w:hAnsi="Times New Roman"/>
          <w:sz w:val="28"/>
          <w:szCs w:val="28"/>
          <w:lang w:val="uk-UA" w:eastAsia="en-US"/>
        </w:rPr>
        <w:t>.</w:t>
      </w:r>
    </w:p>
    <w:p w:rsidR="00012F54" w:rsidRPr="00012F54" w:rsidRDefault="00012F54" w:rsidP="00012F54">
      <w:pPr>
        <w:widowControl w:val="0"/>
        <w:tabs>
          <w:tab w:val="left" w:pos="1276"/>
        </w:tabs>
        <w:spacing w:after="0" w:line="360" w:lineRule="auto"/>
        <w:ind w:firstLine="284"/>
        <w:jc w:val="both"/>
        <w:rPr>
          <w:rFonts w:ascii="Times New Roman" w:hAnsi="Times New Roman"/>
          <w:sz w:val="28"/>
          <w:szCs w:val="28"/>
          <w:lang w:val="uk-UA"/>
        </w:rPr>
        <w:sectPr w:rsidR="00012F54" w:rsidRPr="00012F54" w:rsidSect="00E9659D">
          <w:pgSz w:w="16838" w:h="11906" w:orient="landscape"/>
          <w:pgMar w:top="567" w:right="1134" w:bottom="1134" w:left="1134" w:header="709" w:footer="709" w:gutter="0"/>
          <w:cols w:space="708"/>
          <w:docGrid w:linePitch="360"/>
        </w:sectPr>
      </w:pPr>
    </w:p>
    <w:p w:rsidR="00763508" w:rsidRDefault="00763508" w:rsidP="00763508">
      <w:pPr>
        <w:widowControl w:val="0"/>
        <w:autoSpaceDE w:val="0"/>
        <w:autoSpaceDN w:val="0"/>
        <w:adjustRightInd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lastRenderedPageBreak/>
        <w:t>Через 24 год після введення аутокрові показник летальності щурів із ВМК склав 17,4%, а на другу, третю та четверту добу відповідно 21,7; 26,1 та 30,4 %. У подальшому, впродовж наступних 17-ти діб спостереження (включно до 21-ої доби експерименту з моменту моделювання ВМК) летальність тварин не відмічалась.</w:t>
      </w:r>
    </w:p>
    <w:p w:rsidR="00D17BD3" w:rsidRDefault="00D17BD3" w:rsidP="00D17BD3">
      <w:pPr>
        <w:widowControl w:val="0"/>
        <w:autoSpaceDE w:val="0"/>
        <w:autoSpaceDN w:val="0"/>
        <w:adjustRightInd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Така динаміка летальності тварин із </w:t>
      </w:r>
      <w:r w:rsidRPr="00012F54">
        <w:rPr>
          <w:rFonts w:ascii="Times New Roman" w:hAnsi="Times New Roman"/>
          <w:color w:val="000000" w:themeColor="text1"/>
          <w:sz w:val="28"/>
          <w:szCs w:val="28"/>
          <w:lang w:val="uk-UA"/>
        </w:rPr>
        <w:t>ВЧК</w:t>
      </w:r>
      <w:r w:rsidRPr="00012F54">
        <w:rPr>
          <w:rFonts w:ascii="Times New Roman" w:hAnsi="Times New Roman"/>
          <w:sz w:val="28"/>
          <w:szCs w:val="28"/>
          <w:lang w:val="uk-UA"/>
        </w:rPr>
        <w:t>: достатньо високий показник летальності на початку, та відсутність смертельних випадків у відновному періоді, дозволяє використовувати модель ВМК для поглибленої оцінки механізмів нейропротективної активності препаратів, що неможливо в умовах САК після четвертої доби, коли летальність в групі контрольної патології сягає 100 %.</w:t>
      </w:r>
    </w:p>
    <w:p w:rsidR="00D17BD3" w:rsidRPr="00012F54" w:rsidRDefault="00D17BD3" w:rsidP="00D17BD3">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Як видно із даних, представлених у табл</w:t>
      </w:r>
      <w:r w:rsidRPr="00012F54">
        <w:rPr>
          <w:rFonts w:ascii="Times New Roman" w:hAnsi="Times New Roman"/>
          <w:sz w:val="28"/>
          <w:szCs w:val="28"/>
        </w:rPr>
        <w:t>.</w:t>
      </w:r>
      <w:r w:rsidRPr="00012F54">
        <w:rPr>
          <w:rFonts w:ascii="Times New Roman" w:hAnsi="Times New Roman"/>
          <w:sz w:val="28"/>
          <w:szCs w:val="28"/>
          <w:lang w:val="uk-UA"/>
        </w:rPr>
        <w:t xml:space="preserve"> 3.2, при модельному ВМК усі досліджу</w:t>
      </w:r>
      <w:r w:rsidR="00E93435">
        <w:rPr>
          <w:rFonts w:ascii="Times New Roman" w:hAnsi="Times New Roman"/>
          <w:sz w:val="28"/>
          <w:szCs w:val="28"/>
          <w:lang w:val="uk-UA"/>
        </w:rPr>
        <w:t>-</w:t>
      </w:r>
      <w:r w:rsidRPr="00012F54">
        <w:rPr>
          <w:rFonts w:ascii="Times New Roman" w:hAnsi="Times New Roman"/>
          <w:sz w:val="28"/>
          <w:szCs w:val="28"/>
          <w:lang w:val="uk-UA"/>
        </w:rPr>
        <w:t>вані препарати, за винятком магнію сульфату, сприяли вірогідному зменшенню показника летальності тварин в умовах даного патологічного стану, що вказувало на наявність у них церебропротекторного ефекту. Однак, за величиною захисного впливу на ішемізований головний мозок вони мали певні якісні відмінності.</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Як і на попередній моделі САК, найбільш потужні нейропротекторні властивості продемонстрував адемол та німодипін, забезпечуючи 100 % церебропротекторний захист упродовж перших 24 год (показник летальності у групах тварин, які отримували ці препарати дорівнював 0 % проти 17,4 % у контролі). Упродовж 48 год спостереження у щурів із ВМК, яким проводили терапію адемолом, не було відмічено жодного летального випадку, на відміну від лікування німодипіном та амантадином сульфатом, де смертність тварин з ВМК сягала відповідно 7,9 та 8,5 %. За величиною цребропротектрної дії в зазначений термін експериментального інсульту адемол дозою 2 мг/кг в/в вірогідно перевершував амантадину та магнію сульфат. Останн</w:t>
      </w:r>
      <w:r w:rsidR="00233737">
        <w:rPr>
          <w:rFonts w:ascii="Times New Roman" w:hAnsi="Times New Roman"/>
          <w:sz w:val="28"/>
          <w:szCs w:val="28"/>
          <w:lang w:val="uk-UA"/>
        </w:rPr>
        <w:t>ій, проявив низьку ефективність</w:t>
      </w:r>
      <w:r w:rsidRPr="00012F54">
        <w:rPr>
          <w:rFonts w:ascii="Times New Roman" w:hAnsi="Times New Roman"/>
          <w:sz w:val="28"/>
          <w:szCs w:val="28"/>
          <w:lang w:val="uk-UA"/>
        </w:rPr>
        <w:t xml:space="preserve"> упродовж усього терміну спостереження, що виявилось співвідносним із результати в умовах САК.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На нашу думку, така незадовільна церебропротекторна активність магнію сульфату може бути пов’язана із його фармакокінетичними особливостями, а саме коротким періодом напіввиведення. Останнє робить препарат дієвим лише під час інфузії. Припинення довенного застосування </w:t>
      </w:r>
      <w:r w:rsidR="00233737">
        <w:rPr>
          <w:rFonts w:ascii="Times New Roman" w:hAnsi="Times New Roman"/>
          <w:sz w:val="28"/>
          <w:szCs w:val="28"/>
          <w:lang w:val="uk-UA"/>
        </w:rPr>
        <w:t xml:space="preserve"> магнію сульфату</w:t>
      </w:r>
      <w:r w:rsidRPr="00012F54">
        <w:rPr>
          <w:rFonts w:ascii="Times New Roman" w:hAnsi="Times New Roman"/>
          <w:sz w:val="28"/>
          <w:szCs w:val="28"/>
          <w:lang w:val="uk-UA"/>
        </w:rPr>
        <w:t xml:space="preserve">, одразу супроводжується зникненням так званого «магнієвого блоку» кальцієвих каналів в </w:t>
      </w:r>
      <w:r w:rsidRPr="00012F54">
        <w:rPr>
          <w:rFonts w:ascii="Times New Roman" w:hAnsi="Times New Roman"/>
          <w:sz w:val="28"/>
          <w:szCs w:val="28"/>
          <w:lang w:val="uk-UA"/>
        </w:rPr>
        <w:lastRenderedPageBreak/>
        <w:t>мембранах нейронів, шоковим потраплянням іонів кальцію всередину нервових клітин та повторним формуванням глутаматноїексайтотоксичності. Для подовження фа</w:t>
      </w:r>
      <w:r w:rsidR="00233737">
        <w:rPr>
          <w:rFonts w:ascii="Times New Roman" w:hAnsi="Times New Roman"/>
          <w:sz w:val="28"/>
          <w:szCs w:val="28"/>
          <w:lang w:val="uk-UA"/>
        </w:rPr>
        <w:t>рмакодинамічних ефектів магнію сульфату</w:t>
      </w:r>
      <w:r w:rsidRPr="00012F54">
        <w:rPr>
          <w:rFonts w:ascii="Times New Roman" w:hAnsi="Times New Roman"/>
          <w:sz w:val="28"/>
          <w:szCs w:val="28"/>
          <w:lang w:val="uk-UA"/>
        </w:rPr>
        <w:t xml:space="preserve"> на головний мозок її необхідно застосовувати постійно, що досягається завдяки інфузоматної системи. Однак, такий підхід є неприпустимим в експериментальних умовах, оскільки застосування інфузомату можливо лише у знерухомлених тварин, що через короткий проміжок часу призводить до розвитку імобілізаційного стресу, який у тварин із високою руховою активністю, сам по собі може стати причиною летальності.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В наших дослідженнях ми проводили досить тривалу інфузію (4 год), поміщуючи тварину у спеціальний пенал «Biopac», де тварина знерухомлена частково і не заважає введенню препаратів у попередньо катетеризовану стегнову вену. Про</w:t>
      </w:r>
      <w:r w:rsidR="00233737">
        <w:rPr>
          <w:rFonts w:ascii="Times New Roman" w:hAnsi="Times New Roman"/>
          <w:sz w:val="28"/>
          <w:szCs w:val="28"/>
          <w:lang w:val="uk-UA"/>
        </w:rPr>
        <w:t>те, тримати щура в пеналі</w:t>
      </w:r>
      <w:r w:rsidRPr="00012F54">
        <w:rPr>
          <w:rFonts w:ascii="Times New Roman" w:hAnsi="Times New Roman"/>
          <w:sz w:val="28"/>
          <w:szCs w:val="28"/>
          <w:lang w:val="uk-UA"/>
        </w:rPr>
        <w:t xml:space="preserve"> згідно інструкції по його використанню можна не більше 4 год на добу односеансно, що і було дотримано. Адемол та німодипін також мають швидкісні фармакокінетичні параметри та короткий період напіввиведення, що диктує умови довготривалої та, бажано, постійної інфузії. Однак, на відміну від розчину магнію сульфату, припинення їх інфузії не супряжено із зникненням церебропротекторної активності та реверсом глутаматноїїексайтотоксичності, оскільки вже перше введення формує довготривалий стійкий захист мозку від дії патогенетичних чинників характерних для гострої церебральної ІР, які не обмежені лише активацією NMDA-рецепторів.</w:t>
      </w:r>
    </w:p>
    <w:p w:rsidR="00012F54" w:rsidRPr="00012F54" w:rsidRDefault="00012F54" w:rsidP="00B065B6">
      <w:pPr>
        <w:widowControl w:val="0"/>
        <w:tabs>
          <w:tab w:val="left" w:pos="1276"/>
          <w:tab w:val="left" w:pos="1701"/>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Станом на 48 год експерименту, базуючись на показниках виживаності щурів із ВМК, за спроможність зменшувати летальність тварин, а значить і ступенем церебропротекторної активності варіаційний ряд виглядає наступним чином: псевдооперовані щури &gt;адемол = німодипін&gt;амантадину сульфат &gt; магнію сульфат. Курсова інфузія упродовж чотирьох діб ВМК розчинів адемолу та німодипіну, на відміну від амантадину або магнію сульфату, забезпечила вірогідне зменшення летальності щурів в кінці терміну спостереження відносно тварин групи контрольної патології в середньому відповідно на 88,2 та 86,2 % (р&lt;0,05). </w:t>
      </w:r>
    </w:p>
    <w:p w:rsidR="00012F54" w:rsidRPr="005879AB" w:rsidRDefault="00012F54" w:rsidP="00B065B6">
      <w:pPr>
        <w:pStyle w:val="2"/>
        <w:spacing w:line="360" w:lineRule="auto"/>
        <w:ind w:firstLine="284"/>
        <w:jc w:val="both"/>
        <w:rPr>
          <w:rFonts w:ascii="Times New Roman" w:hAnsi="Times New Roman" w:cs="Times New Roman"/>
          <w:color w:val="auto"/>
          <w:sz w:val="28"/>
          <w:szCs w:val="28"/>
          <w:lang w:val="uk-UA"/>
        </w:rPr>
      </w:pPr>
      <w:r w:rsidRPr="005879AB">
        <w:rPr>
          <w:rFonts w:ascii="Times New Roman" w:hAnsi="Times New Roman" w:cs="Times New Roman"/>
          <w:color w:val="auto"/>
          <w:sz w:val="28"/>
          <w:szCs w:val="28"/>
          <w:lang w:val="uk-UA"/>
        </w:rPr>
        <w:lastRenderedPageBreak/>
        <w:t xml:space="preserve">3.3. Дослідження неврологічного дефіциту у щурів із гострим порушенням мозкового кровообігу за геморагічним типом під впливом адемолу та референс-препаратів із подальшою оцінкою його мнемотропної активності </w:t>
      </w:r>
    </w:p>
    <w:p w:rsid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На першому етапі, провели оцінку неврологічного дефіциту в критичний період (48 год) при САК, коли летальність становила більше 50 % у групі контрольної патології. До кожної групи увійшло по 7 тварин, котрі вижили станом на даний часовий проміжок. (табл. 3.8). </w:t>
      </w:r>
    </w:p>
    <w:p w:rsidR="00012F54" w:rsidRPr="00012F54" w:rsidRDefault="00012F54" w:rsidP="00012F54">
      <w:pPr>
        <w:widowControl w:val="0"/>
        <w:spacing w:after="0" w:line="360" w:lineRule="auto"/>
        <w:ind w:firstLine="284"/>
        <w:jc w:val="right"/>
        <w:rPr>
          <w:rFonts w:ascii="Times New Roman" w:hAnsi="Times New Roman"/>
          <w:sz w:val="28"/>
          <w:szCs w:val="28"/>
          <w:lang w:val="uk-UA"/>
        </w:rPr>
      </w:pPr>
      <w:r w:rsidRPr="00012F54">
        <w:rPr>
          <w:rFonts w:ascii="Times New Roman" w:hAnsi="Times New Roman"/>
          <w:sz w:val="28"/>
          <w:szCs w:val="28"/>
          <w:lang w:val="uk-UA"/>
        </w:rPr>
        <w:t>Таблиця 3.8</w:t>
      </w: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Вплив адемолу та референс-препаратів на неврологічний дефіцитз</w:t>
      </w: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 xml:space="preserve">а шкалою С.Р. McGraw у щурів із субарноїдальним крововиливом </w:t>
      </w: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 xml:space="preserve">у критичний період інсульту, M±m (n=7) </w:t>
      </w:r>
    </w:p>
    <w:p w:rsidR="00012F54" w:rsidRPr="00763508" w:rsidRDefault="00012F54" w:rsidP="00012F54">
      <w:pPr>
        <w:widowControl w:val="0"/>
        <w:spacing w:after="0" w:line="240" w:lineRule="auto"/>
        <w:ind w:firstLine="284"/>
        <w:jc w:val="center"/>
        <w:rPr>
          <w:rFonts w:ascii="Times New Roman" w:hAnsi="Times New Roman"/>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8"/>
        <w:gridCol w:w="3260"/>
      </w:tblGrid>
      <w:tr w:rsidR="00012F54" w:rsidRPr="00012F54" w:rsidTr="00012F54">
        <w:trPr>
          <w:trHeight w:val="1298"/>
          <w:jc w:val="center"/>
        </w:trPr>
        <w:tc>
          <w:tcPr>
            <w:tcW w:w="6658"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Групи тварин</w:t>
            </w:r>
          </w:p>
        </w:tc>
        <w:tc>
          <w:tcPr>
            <w:tcW w:w="326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 xml:space="preserve">Бали за шкалою </w:t>
            </w:r>
          </w:p>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С.Р. McGraw, 48 год (критичний період САК)</w:t>
            </w:r>
          </w:p>
        </w:tc>
      </w:tr>
      <w:tr w:rsidR="00012F54" w:rsidRPr="00012F54" w:rsidTr="00012F54">
        <w:trPr>
          <w:jc w:val="center"/>
        </w:trPr>
        <w:tc>
          <w:tcPr>
            <w:tcW w:w="6658" w:type="dxa"/>
            <w:vAlign w:val="center"/>
          </w:tcPr>
          <w:p w:rsidR="00012F54" w:rsidRPr="00012F54" w:rsidRDefault="00012F54" w:rsidP="00763508">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Псевдооперовані тварини+ 0,9% NаСІ, 2 мл/кг</w:t>
            </w:r>
          </w:p>
        </w:tc>
        <w:tc>
          <w:tcPr>
            <w:tcW w:w="326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0,0±0,0</w:t>
            </w:r>
          </w:p>
        </w:tc>
      </w:tr>
      <w:tr w:rsidR="00012F54" w:rsidRPr="00012F54" w:rsidTr="00012F54">
        <w:trPr>
          <w:jc w:val="center"/>
        </w:trPr>
        <w:tc>
          <w:tcPr>
            <w:tcW w:w="6658" w:type="dxa"/>
            <w:vAlign w:val="center"/>
          </w:tcPr>
          <w:p w:rsidR="00012F54" w:rsidRPr="00012F54" w:rsidRDefault="00012F54" w:rsidP="00763508">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 xml:space="preserve">САК + 0,9% NаСІ, 2 мл/кг </w:t>
            </w:r>
          </w:p>
          <w:p w:rsidR="00012F54" w:rsidRPr="00012F54" w:rsidRDefault="00012F54" w:rsidP="00763508">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(група контрольної патології)</w:t>
            </w:r>
          </w:p>
        </w:tc>
        <w:tc>
          <w:tcPr>
            <w:tcW w:w="326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11,93±0,33º</w:t>
            </w:r>
          </w:p>
        </w:tc>
      </w:tr>
      <w:tr w:rsidR="00012F54" w:rsidRPr="00012F54" w:rsidTr="00012F54">
        <w:trPr>
          <w:jc w:val="center"/>
        </w:trPr>
        <w:tc>
          <w:tcPr>
            <w:tcW w:w="6658" w:type="dxa"/>
            <w:vAlign w:val="center"/>
          </w:tcPr>
          <w:p w:rsidR="00012F54" w:rsidRPr="00012F54" w:rsidRDefault="00012F54" w:rsidP="00763508">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САК</w:t>
            </w:r>
            <w:r w:rsidRPr="00012F54">
              <w:rPr>
                <w:rFonts w:ascii="Times New Roman" w:hAnsi="Times New Roman"/>
                <w:b/>
                <w:sz w:val="28"/>
                <w:szCs w:val="28"/>
                <w:lang w:val="uk-UA"/>
              </w:rPr>
              <w:t xml:space="preserve"> + </w:t>
            </w:r>
            <w:r w:rsidRPr="00012F54">
              <w:rPr>
                <w:rFonts w:ascii="Times New Roman" w:hAnsi="Times New Roman"/>
                <w:sz w:val="28"/>
                <w:szCs w:val="28"/>
                <w:lang w:val="uk-UA"/>
              </w:rPr>
              <w:t>адемол, 2 мг⁄кг</w:t>
            </w:r>
          </w:p>
        </w:tc>
        <w:tc>
          <w:tcPr>
            <w:tcW w:w="326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5,73±0,19º*</w:t>
            </w:r>
            <w:r w:rsidRPr="00012F54">
              <w:rPr>
                <w:rFonts w:ascii="Times New Roman" w:hAnsi="Times New Roman"/>
                <w:sz w:val="28"/>
                <w:szCs w:val="28"/>
                <w:vertAlign w:val="superscript"/>
                <w:lang w:val="uk-UA"/>
              </w:rPr>
              <w:t>#&amp;α</w:t>
            </w:r>
          </w:p>
        </w:tc>
      </w:tr>
      <w:tr w:rsidR="00012F54" w:rsidRPr="00012F54" w:rsidTr="00012F54">
        <w:trPr>
          <w:jc w:val="center"/>
        </w:trPr>
        <w:tc>
          <w:tcPr>
            <w:tcW w:w="6658" w:type="dxa"/>
            <w:vAlign w:val="center"/>
          </w:tcPr>
          <w:p w:rsidR="00012F54" w:rsidRPr="00012F54" w:rsidRDefault="00012F54" w:rsidP="00763508">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САК + німодипін, 30 мкг⁄кг</w:t>
            </w:r>
          </w:p>
        </w:tc>
        <w:tc>
          <w:tcPr>
            <w:tcW w:w="326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7,0±0,17º*</w:t>
            </w:r>
            <w:r w:rsidRPr="00012F54">
              <w:rPr>
                <w:rFonts w:ascii="Times New Roman" w:hAnsi="Times New Roman"/>
                <w:sz w:val="28"/>
                <w:szCs w:val="28"/>
                <w:vertAlign w:val="superscript"/>
                <w:lang w:val="uk-UA"/>
              </w:rPr>
              <w:t>#</w:t>
            </w:r>
          </w:p>
        </w:tc>
      </w:tr>
      <w:tr w:rsidR="00012F54" w:rsidRPr="00012F54" w:rsidTr="00012F54">
        <w:trPr>
          <w:jc w:val="center"/>
        </w:trPr>
        <w:tc>
          <w:tcPr>
            <w:tcW w:w="6658" w:type="dxa"/>
            <w:vAlign w:val="center"/>
          </w:tcPr>
          <w:p w:rsidR="00012F54" w:rsidRPr="00012F54" w:rsidRDefault="00012F54" w:rsidP="00763508">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САК + амантадину сульфат, 10 мг⁄кг</w:t>
            </w:r>
          </w:p>
        </w:tc>
        <w:tc>
          <w:tcPr>
            <w:tcW w:w="326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7,73±0,21º*</w:t>
            </w:r>
            <w:r w:rsidRPr="00012F54">
              <w:rPr>
                <w:rFonts w:ascii="Times New Roman" w:hAnsi="Times New Roman"/>
                <w:sz w:val="28"/>
                <w:szCs w:val="28"/>
                <w:vertAlign w:val="superscript"/>
                <w:lang w:val="uk-UA"/>
              </w:rPr>
              <w:t>#</w:t>
            </w:r>
          </w:p>
        </w:tc>
      </w:tr>
      <w:tr w:rsidR="00012F54" w:rsidRPr="00012F54" w:rsidTr="00012F54">
        <w:trPr>
          <w:jc w:val="center"/>
        </w:trPr>
        <w:tc>
          <w:tcPr>
            <w:tcW w:w="6658" w:type="dxa"/>
            <w:vAlign w:val="center"/>
          </w:tcPr>
          <w:p w:rsidR="00012F54" w:rsidRPr="00012F54" w:rsidRDefault="00012F54" w:rsidP="00763508">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САК + магнію сульфат, 250 мг⁄кг</w:t>
            </w:r>
          </w:p>
        </w:tc>
        <w:tc>
          <w:tcPr>
            <w:tcW w:w="326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10,0±0,24 º</w:t>
            </w:r>
          </w:p>
        </w:tc>
      </w:tr>
    </w:tbl>
    <w:p w:rsidR="00012F54" w:rsidRPr="00763508" w:rsidRDefault="00012F54" w:rsidP="00B065B6">
      <w:pPr>
        <w:widowControl w:val="0"/>
        <w:tabs>
          <w:tab w:val="left" w:pos="1080"/>
        </w:tabs>
        <w:spacing w:after="0" w:line="240" w:lineRule="auto"/>
        <w:ind w:firstLine="284"/>
        <w:jc w:val="both"/>
        <w:rPr>
          <w:rFonts w:ascii="Times New Roman" w:hAnsi="Times New Roman"/>
          <w:sz w:val="28"/>
          <w:szCs w:val="28"/>
          <w:lang w:val="uk-UA"/>
        </w:rPr>
      </w:pPr>
    </w:p>
    <w:p w:rsidR="00012F54" w:rsidRPr="00012F54" w:rsidRDefault="00012F54" w:rsidP="00B065B6">
      <w:pPr>
        <w:widowControl w:val="0"/>
        <w:tabs>
          <w:tab w:val="left" w:pos="1080"/>
        </w:tabs>
        <w:spacing w:after="0" w:line="24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Примітки: </w:t>
      </w:r>
    </w:p>
    <w:p w:rsidR="00012F54" w:rsidRPr="0015531A" w:rsidRDefault="00012F54" w:rsidP="00B065B6">
      <w:pPr>
        <w:widowControl w:val="0"/>
        <w:tabs>
          <w:tab w:val="left" w:pos="1080"/>
        </w:tabs>
        <w:spacing w:after="0" w:line="360" w:lineRule="auto"/>
        <w:ind w:firstLine="284"/>
        <w:jc w:val="both"/>
        <w:rPr>
          <w:rFonts w:ascii="Times New Roman" w:hAnsi="Times New Roman"/>
          <w:sz w:val="16"/>
          <w:szCs w:val="16"/>
          <w:lang w:val="uk-UA"/>
        </w:rPr>
      </w:pPr>
    </w:p>
    <w:p w:rsidR="00012F54" w:rsidRPr="00012F54" w:rsidRDefault="00012F54" w:rsidP="00D17BD3">
      <w:pPr>
        <w:widowControl w:val="0"/>
        <w:numPr>
          <w:ilvl w:val="0"/>
          <w:numId w:val="7"/>
        </w:numPr>
        <w:tabs>
          <w:tab w:val="left" w:pos="567"/>
          <w:tab w:val="left" w:pos="709"/>
          <w:tab w:val="left" w:pos="993"/>
        </w:tabs>
        <w:spacing w:after="0" w:line="360" w:lineRule="auto"/>
        <w:ind w:left="709" w:firstLine="0"/>
        <w:jc w:val="both"/>
        <w:rPr>
          <w:rFonts w:ascii="Times New Roman" w:hAnsi="Times New Roman"/>
          <w:sz w:val="28"/>
          <w:szCs w:val="28"/>
          <w:lang w:val="uk-UA"/>
        </w:rPr>
      </w:pPr>
      <w:r w:rsidRPr="00012F54">
        <w:rPr>
          <w:rFonts w:ascii="Times New Roman" w:hAnsi="Times New Roman"/>
          <w:sz w:val="28"/>
          <w:szCs w:val="28"/>
          <w:lang w:val="uk-UA"/>
        </w:rPr>
        <w:t>º – р&lt;0,05 відносно псевдооперованих тварин;</w:t>
      </w:r>
    </w:p>
    <w:p w:rsidR="00012F54" w:rsidRPr="00012F54" w:rsidRDefault="0036311A" w:rsidP="00D17BD3">
      <w:pPr>
        <w:widowControl w:val="0"/>
        <w:tabs>
          <w:tab w:val="left" w:pos="1276"/>
        </w:tabs>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2</w:t>
      </w:r>
      <w:r w:rsidR="00012F54" w:rsidRPr="00012F54">
        <w:rPr>
          <w:rFonts w:ascii="Times New Roman" w:hAnsi="Times New Roman"/>
          <w:sz w:val="28"/>
          <w:szCs w:val="28"/>
          <w:lang w:val="uk-UA"/>
        </w:rPr>
        <w:t>.* – р&lt;0,05 відносно контрольної патології;</w:t>
      </w:r>
    </w:p>
    <w:p w:rsidR="00012F54" w:rsidRPr="00012F54" w:rsidRDefault="0036311A" w:rsidP="00D17BD3">
      <w:pPr>
        <w:widowControl w:val="0"/>
        <w:tabs>
          <w:tab w:val="left" w:pos="1276"/>
        </w:tabs>
        <w:spacing w:after="0" w:line="360" w:lineRule="auto"/>
        <w:ind w:left="709"/>
        <w:rPr>
          <w:rFonts w:ascii="Times New Roman" w:hAnsi="Times New Roman"/>
          <w:sz w:val="28"/>
          <w:szCs w:val="28"/>
          <w:lang w:val="uk-UA"/>
        </w:rPr>
      </w:pPr>
      <w:r>
        <w:rPr>
          <w:rFonts w:ascii="Times New Roman" w:hAnsi="Times New Roman"/>
          <w:sz w:val="28"/>
          <w:szCs w:val="28"/>
          <w:lang w:val="uk-UA"/>
        </w:rPr>
        <w:t>3</w:t>
      </w:r>
      <w:r w:rsidR="00012F54" w:rsidRPr="00012F54">
        <w:rPr>
          <w:rFonts w:ascii="Times New Roman" w:hAnsi="Times New Roman"/>
          <w:sz w:val="28"/>
          <w:szCs w:val="28"/>
          <w:lang w:val="uk-UA"/>
        </w:rPr>
        <w:t xml:space="preserve">. </w:t>
      </w:r>
      <w:r w:rsidR="00012F54" w:rsidRPr="00012F54">
        <w:rPr>
          <w:rFonts w:ascii="Times New Roman" w:hAnsi="Times New Roman"/>
          <w:sz w:val="28"/>
          <w:szCs w:val="28"/>
          <w:vertAlign w:val="superscript"/>
          <w:lang w:val="uk-UA"/>
        </w:rPr>
        <w:t xml:space="preserve"># </w:t>
      </w:r>
      <w:r w:rsidR="00012F54" w:rsidRPr="00012F54">
        <w:rPr>
          <w:rFonts w:ascii="Times New Roman" w:hAnsi="Times New Roman"/>
          <w:sz w:val="28"/>
          <w:szCs w:val="28"/>
          <w:lang w:val="uk-UA"/>
        </w:rPr>
        <w:t>– р&lt;0,05 відносно магнію сульфату (250 мг/кг);</w:t>
      </w:r>
    </w:p>
    <w:p w:rsidR="00012F54" w:rsidRPr="00012F54" w:rsidRDefault="0036311A" w:rsidP="00D17BD3">
      <w:pPr>
        <w:widowControl w:val="0"/>
        <w:tabs>
          <w:tab w:val="left" w:pos="1276"/>
        </w:tabs>
        <w:spacing w:after="0" w:line="360" w:lineRule="auto"/>
        <w:ind w:left="709"/>
        <w:rPr>
          <w:rFonts w:ascii="Times New Roman" w:hAnsi="Times New Roman"/>
          <w:sz w:val="28"/>
          <w:szCs w:val="28"/>
          <w:lang w:val="uk-UA"/>
        </w:rPr>
      </w:pPr>
      <w:r>
        <w:rPr>
          <w:rFonts w:ascii="Times New Roman" w:hAnsi="Times New Roman"/>
          <w:sz w:val="28"/>
          <w:szCs w:val="28"/>
          <w:lang w:val="uk-UA"/>
        </w:rPr>
        <w:t>4</w:t>
      </w:r>
      <w:r w:rsidR="00012F54" w:rsidRPr="00012F54">
        <w:rPr>
          <w:rFonts w:ascii="Times New Roman" w:hAnsi="Times New Roman"/>
          <w:sz w:val="28"/>
          <w:szCs w:val="28"/>
          <w:lang w:val="uk-UA"/>
        </w:rPr>
        <w:t>.α – р&lt;0,05 відносно німодипіну (30 мкг⁄кг);</w:t>
      </w:r>
    </w:p>
    <w:p w:rsidR="00012F54" w:rsidRPr="00012F54" w:rsidRDefault="0036311A" w:rsidP="00D17BD3">
      <w:pPr>
        <w:widowControl w:val="0"/>
        <w:tabs>
          <w:tab w:val="left" w:pos="1276"/>
        </w:tabs>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5</w:t>
      </w:r>
      <w:r w:rsidR="00012F54" w:rsidRPr="00012F54">
        <w:rPr>
          <w:rFonts w:ascii="Times New Roman" w:hAnsi="Times New Roman"/>
          <w:sz w:val="28"/>
          <w:szCs w:val="28"/>
          <w:lang w:val="uk-UA"/>
        </w:rPr>
        <w:t xml:space="preserve">. </w:t>
      </w:r>
      <w:r w:rsidR="00012F54" w:rsidRPr="00012F54">
        <w:rPr>
          <w:rFonts w:ascii="Times New Roman" w:hAnsi="Times New Roman"/>
          <w:sz w:val="28"/>
          <w:szCs w:val="28"/>
          <w:vertAlign w:val="superscript"/>
          <w:lang w:val="uk-UA"/>
        </w:rPr>
        <w:t>&amp;</w:t>
      </w:r>
      <w:r w:rsidR="00012F54" w:rsidRPr="00012F54">
        <w:rPr>
          <w:rFonts w:ascii="Times New Roman" w:hAnsi="Times New Roman"/>
          <w:sz w:val="28"/>
          <w:szCs w:val="28"/>
          <w:lang w:val="uk-UA"/>
        </w:rPr>
        <w:t>– р&lt;0,05 відносно амантадину сульфату (10 мг/кг).</w:t>
      </w:r>
    </w:p>
    <w:p w:rsidR="00D17BD3" w:rsidRPr="0015531A" w:rsidRDefault="00D17BD3" w:rsidP="00D17BD3">
      <w:pPr>
        <w:widowControl w:val="0"/>
        <w:spacing w:after="0" w:line="360" w:lineRule="auto"/>
        <w:ind w:firstLine="284"/>
        <w:jc w:val="both"/>
        <w:rPr>
          <w:rFonts w:ascii="Times New Roman" w:hAnsi="Times New Roman"/>
          <w:sz w:val="16"/>
          <w:szCs w:val="16"/>
          <w:lang w:val="uk-UA"/>
        </w:rPr>
      </w:pPr>
    </w:p>
    <w:p w:rsidR="00D17BD3" w:rsidRDefault="00D17BD3" w:rsidP="00D17BD3">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За умов, коли тварин за результатом первинного скринінгу при оцінці летальності у попередній серії дослідів не вистачало до необхідної кількості (наприклад, група </w:t>
      </w:r>
      <w:r w:rsidRPr="00012F54">
        <w:rPr>
          <w:rFonts w:ascii="Times New Roman" w:hAnsi="Times New Roman"/>
          <w:sz w:val="28"/>
          <w:szCs w:val="28"/>
          <w:lang w:val="uk-UA"/>
        </w:rPr>
        <w:lastRenderedPageBreak/>
        <w:t>контролю), додатково залучали щурів, яким окремо аналогічно моделювали САК.</w:t>
      </w:r>
    </w:p>
    <w:p w:rsidR="00D17BD3" w:rsidRPr="00012F54" w:rsidRDefault="00D17BD3" w:rsidP="00D17BD3">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Проведене дослідження показало, що значній летальності щурів із САК відповідав важкий неврологічний дефіцит, оцінений в балах за шкалою С.Р. McGraw, яка є аналогом шкали Глазго в клінічних умовах при виявленні неврологічного статусу у хворих із інсультом.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У псевдооперованих тварин неврологічний статус залишався без змін, що співпадає із стовідсотковою виживаністю. На противагу цьому, у щурів групи контрольної патології 70-ти % летальності відповідав неврологічний дефіцит тяжкого ступеня важкості, який в балах  становив 11,93 бали (табл. 3.7). </w:t>
      </w:r>
    </w:p>
    <w:p w:rsidR="00012F54" w:rsidRP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Терапія всіма досліджуваними препаратами сприяло вірогідному послабленню проявів неврологічного дефіциту, відносно групи контрольної патології. Навіть терапія САК розчином магнію сульфату, при якій летальність не різнилась від такої в групі контролю зменшувала середній бал за шкалою С.Р. McGraw на 1,93, що є достовірним при р&lt;0,05. У порівнянні з іншими референсами, найменша неврологічна симптоматика мала місце на тлі адемолу умовно-ефективною дозою 2 мг/кг, коли при виживаності рівній 90 % дефіцит за обраною шкалою становив 5,73 бали, що у, 2,1 рази менше ніж у групі контрольної патології. На тлі амантадину сульфату та німодпіну, при однаковій смертності в критичний період рівній 30 %, неврологічний дефіцит також не мав достеменних відмінностей, проте був меншим відносно контролю в середньому у 1,54 та 1,70 рази, р&lt;0,05. Порівняно з ними, адемол мав вірогідну перевагу у менших балах за шкалою С.Р. McGraw, які виявились нижчими порівняно із німодипіном та амантадином сульфатом у середньому відповідно в 1,22 та 1,35 рази, р&lt;0,05.</w:t>
      </w:r>
    </w:p>
    <w:p w:rsidR="00012F54" w:rsidRDefault="00012F54" w:rsidP="00B065B6">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У наступній серії дослідів, введення щурам </w:t>
      </w:r>
      <w:r w:rsidRPr="00012F54">
        <w:rPr>
          <w:rFonts w:ascii="Times New Roman" w:eastAsia="TimesNewRomanPSMT" w:hAnsi="Times New Roman"/>
          <w:sz w:val="28"/>
          <w:szCs w:val="28"/>
          <w:lang w:val="uk-UA"/>
        </w:rPr>
        <w:t xml:space="preserve">у внутрішню капсулу головного мозку аутокрові з розрахунку 20 мкл/100 г, супроводжувалось змінами у неврологічному статусі, які за шкалою </w:t>
      </w:r>
      <w:r w:rsidRPr="00012F54">
        <w:rPr>
          <w:rFonts w:ascii="Times New Roman" w:hAnsi="Times New Roman"/>
          <w:sz w:val="28"/>
          <w:szCs w:val="28"/>
          <w:lang w:val="uk-UA"/>
        </w:rPr>
        <w:t>С.Р. McGraw</w:t>
      </w:r>
      <w:r w:rsidRPr="00012F54">
        <w:rPr>
          <w:rFonts w:ascii="Times New Roman" w:eastAsia="TimesNewRomanPSMT" w:hAnsi="Times New Roman"/>
          <w:sz w:val="28"/>
          <w:szCs w:val="28"/>
          <w:lang w:val="uk-UA"/>
        </w:rPr>
        <w:t>відповідали невролічній симптоматиці сере</w:t>
      </w:r>
      <w:r w:rsidR="0015531A">
        <w:rPr>
          <w:rFonts w:ascii="Times New Roman" w:eastAsia="TimesNewRomanPSMT" w:hAnsi="Times New Roman"/>
          <w:sz w:val="28"/>
          <w:szCs w:val="28"/>
          <w:lang w:val="uk-UA"/>
        </w:rPr>
        <w:t>-</w:t>
      </w:r>
      <w:r w:rsidRPr="00012F54">
        <w:rPr>
          <w:rFonts w:ascii="Times New Roman" w:eastAsia="TimesNewRomanPSMT" w:hAnsi="Times New Roman"/>
          <w:sz w:val="28"/>
          <w:szCs w:val="28"/>
          <w:lang w:val="uk-UA"/>
        </w:rPr>
        <w:t>днього ступеня важкості</w:t>
      </w:r>
      <w:r w:rsidRPr="00012F54">
        <w:rPr>
          <w:rFonts w:ascii="Times New Roman" w:hAnsi="Times New Roman"/>
          <w:sz w:val="28"/>
          <w:szCs w:val="28"/>
          <w:lang w:val="uk-UA"/>
        </w:rPr>
        <w:t xml:space="preserve"> із максимальним проявом на 4-ту добу спостереження. Так, у цей термін спостереження у групі тварин із ВМК, яким уводили лише фізіологічний розчин </w:t>
      </w:r>
      <w:r w:rsidRPr="00012F54">
        <w:rPr>
          <w:rFonts w:ascii="Times New Roman" w:hAnsi="Times New Roman"/>
          <w:sz w:val="28"/>
          <w:szCs w:val="28"/>
          <w:lang w:val="uk-UA" w:eastAsia="uk-UA"/>
        </w:rPr>
        <w:t>NaCl (контрольна патологія),</w:t>
      </w:r>
      <w:r w:rsidRPr="00012F54">
        <w:rPr>
          <w:rFonts w:ascii="Times New Roman" w:hAnsi="Times New Roman"/>
          <w:sz w:val="28"/>
          <w:szCs w:val="28"/>
          <w:lang w:val="uk-UA"/>
        </w:rPr>
        <w:t xml:space="preserve"> середній бал за шкалою С.Р. McGraw складав 7,33, що відповідає середньому ступеню неврологічног дефіциту </w:t>
      </w:r>
      <w:r w:rsidRPr="00012F54">
        <w:rPr>
          <w:rFonts w:ascii="Times New Roman" w:hAnsi="Times New Roman"/>
          <w:sz w:val="28"/>
          <w:szCs w:val="28"/>
          <w:lang w:val="uk-UA"/>
        </w:rPr>
        <w:lastRenderedPageBreak/>
        <w:t>(табл. 3.9).</w:t>
      </w:r>
    </w:p>
    <w:p w:rsidR="00763508" w:rsidRDefault="00763508" w:rsidP="00012F54">
      <w:pPr>
        <w:widowControl w:val="0"/>
        <w:spacing w:after="0" w:line="240" w:lineRule="auto"/>
        <w:ind w:firstLine="284"/>
        <w:jc w:val="right"/>
        <w:rPr>
          <w:rFonts w:ascii="Times New Roman" w:hAnsi="Times New Roman"/>
          <w:sz w:val="28"/>
          <w:szCs w:val="28"/>
          <w:lang w:val="uk-UA"/>
        </w:rPr>
      </w:pPr>
    </w:p>
    <w:p w:rsidR="00012F54" w:rsidRPr="00012F54" w:rsidRDefault="00012F54" w:rsidP="00012F54">
      <w:pPr>
        <w:widowControl w:val="0"/>
        <w:spacing w:after="0" w:line="240" w:lineRule="auto"/>
        <w:ind w:firstLine="284"/>
        <w:jc w:val="right"/>
        <w:rPr>
          <w:rFonts w:ascii="Times New Roman" w:hAnsi="Times New Roman"/>
          <w:sz w:val="28"/>
          <w:szCs w:val="28"/>
          <w:lang w:val="uk-UA"/>
        </w:rPr>
      </w:pPr>
      <w:r w:rsidRPr="00012F54">
        <w:rPr>
          <w:rFonts w:ascii="Times New Roman" w:hAnsi="Times New Roman"/>
          <w:sz w:val="28"/>
          <w:szCs w:val="28"/>
          <w:lang w:val="uk-UA"/>
        </w:rPr>
        <w:t>Таблиця 3.9</w:t>
      </w:r>
    </w:p>
    <w:p w:rsidR="00012F54" w:rsidRPr="0015531A" w:rsidRDefault="00012F54" w:rsidP="00012F54">
      <w:pPr>
        <w:widowControl w:val="0"/>
        <w:spacing w:after="0" w:line="240" w:lineRule="auto"/>
        <w:ind w:firstLine="284"/>
        <w:jc w:val="right"/>
        <w:rPr>
          <w:rFonts w:ascii="Times New Roman" w:hAnsi="Times New Roman"/>
          <w:sz w:val="16"/>
          <w:szCs w:val="16"/>
          <w:lang w:val="uk-UA"/>
        </w:rPr>
      </w:pP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Вплив адемолу та референс-препаратів на динаміку неврологічного дефіцитуза шкалою С.Р. McGraw у щурів із внутрішньомозковим крововиливом у гострий та відновний періоди інсульту (M±m, n=15)</w:t>
      </w:r>
    </w:p>
    <w:p w:rsidR="00012F54" w:rsidRPr="00763508" w:rsidRDefault="00012F54" w:rsidP="00012F54">
      <w:pPr>
        <w:widowControl w:val="0"/>
        <w:spacing w:after="0" w:line="240" w:lineRule="auto"/>
        <w:ind w:firstLine="284"/>
        <w:jc w:val="center"/>
        <w:rPr>
          <w:rFonts w:ascii="Times New Roman" w:hAnsi="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5"/>
        <w:gridCol w:w="1810"/>
        <w:gridCol w:w="2091"/>
      </w:tblGrid>
      <w:tr w:rsidR="00012F54" w:rsidRPr="00012F54" w:rsidTr="00012F54">
        <w:trPr>
          <w:jc w:val="center"/>
        </w:trPr>
        <w:tc>
          <w:tcPr>
            <w:tcW w:w="5665" w:type="dxa"/>
            <w:vMerge w:val="restart"/>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Групи тварин</w:t>
            </w:r>
          </w:p>
        </w:tc>
        <w:tc>
          <w:tcPr>
            <w:tcW w:w="3901" w:type="dxa"/>
            <w:gridSpan w:val="2"/>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Бали за шкалою С.Р. McGraw</w:t>
            </w:r>
          </w:p>
        </w:tc>
      </w:tr>
      <w:tr w:rsidR="00012F54" w:rsidRPr="00012F54" w:rsidTr="00012F54">
        <w:trPr>
          <w:jc w:val="center"/>
        </w:trPr>
        <w:tc>
          <w:tcPr>
            <w:tcW w:w="5665" w:type="dxa"/>
            <w:vMerge/>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p>
        </w:tc>
        <w:tc>
          <w:tcPr>
            <w:tcW w:w="3901" w:type="dxa"/>
            <w:gridSpan w:val="2"/>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Термін (доба)</w:t>
            </w:r>
          </w:p>
        </w:tc>
      </w:tr>
      <w:tr w:rsidR="00012F54" w:rsidRPr="00012F54" w:rsidTr="00012F54">
        <w:trPr>
          <w:jc w:val="center"/>
        </w:trPr>
        <w:tc>
          <w:tcPr>
            <w:tcW w:w="5665" w:type="dxa"/>
            <w:vMerge/>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p>
        </w:tc>
        <w:tc>
          <w:tcPr>
            <w:tcW w:w="181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w:t>
            </w:r>
          </w:p>
        </w:tc>
        <w:tc>
          <w:tcPr>
            <w:tcW w:w="2091"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21</w:t>
            </w:r>
          </w:p>
        </w:tc>
      </w:tr>
      <w:tr w:rsidR="00012F54" w:rsidRPr="00012F54" w:rsidTr="00012F54">
        <w:trPr>
          <w:jc w:val="center"/>
        </w:trPr>
        <w:tc>
          <w:tcPr>
            <w:tcW w:w="5665" w:type="dxa"/>
            <w:vAlign w:val="center"/>
          </w:tcPr>
          <w:p w:rsidR="00012F54" w:rsidRPr="00012F54" w:rsidRDefault="00012F54" w:rsidP="00763508">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 xml:space="preserve">Псевдооперовані тварини+ 0,9% NаСІ, </w:t>
            </w:r>
          </w:p>
          <w:p w:rsidR="00012F54" w:rsidRPr="00012F54" w:rsidRDefault="00012F54" w:rsidP="00763508">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2 мл/кг</w:t>
            </w:r>
          </w:p>
        </w:tc>
        <w:tc>
          <w:tcPr>
            <w:tcW w:w="181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0,0±0,0</w:t>
            </w:r>
          </w:p>
        </w:tc>
        <w:tc>
          <w:tcPr>
            <w:tcW w:w="2091"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0,0±0,0</w:t>
            </w:r>
          </w:p>
        </w:tc>
      </w:tr>
      <w:tr w:rsidR="00012F54" w:rsidRPr="00012F54" w:rsidTr="00012F54">
        <w:trPr>
          <w:jc w:val="center"/>
        </w:trPr>
        <w:tc>
          <w:tcPr>
            <w:tcW w:w="5665" w:type="dxa"/>
            <w:vAlign w:val="center"/>
          </w:tcPr>
          <w:p w:rsidR="00012F54" w:rsidRPr="00012F54" w:rsidRDefault="00012F54" w:rsidP="00763508">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ВМК + 0,9% NаСІ, 2 мл/кг</w:t>
            </w:r>
          </w:p>
          <w:p w:rsidR="00012F54" w:rsidRPr="00012F54" w:rsidRDefault="00012F54" w:rsidP="00763508">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 xml:space="preserve"> (група контрольної патології)</w:t>
            </w:r>
          </w:p>
        </w:tc>
        <w:tc>
          <w:tcPr>
            <w:tcW w:w="181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7,33±0,32º</w:t>
            </w:r>
          </w:p>
        </w:tc>
        <w:tc>
          <w:tcPr>
            <w:tcW w:w="2091"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4,80±0,23º</w:t>
            </w:r>
          </w:p>
        </w:tc>
      </w:tr>
      <w:tr w:rsidR="00012F54" w:rsidRPr="00012F54" w:rsidTr="00012F54">
        <w:trPr>
          <w:jc w:val="center"/>
        </w:trPr>
        <w:tc>
          <w:tcPr>
            <w:tcW w:w="5665" w:type="dxa"/>
            <w:vAlign w:val="center"/>
          </w:tcPr>
          <w:p w:rsidR="00012F54" w:rsidRPr="00012F54" w:rsidRDefault="00012F54" w:rsidP="00763508">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ВМК</w:t>
            </w:r>
            <w:r w:rsidRPr="00012F54">
              <w:rPr>
                <w:rFonts w:ascii="Times New Roman" w:hAnsi="Times New Roman"/>
                <w:b/>
                <w:sz w:val="28"/>
                <w:szCs w:val="28"/>
                <w:lang w:val="uk-UA"/>
              </w:rPr>
              <w:t xml:space="preserve"> + </w:t>
            </w:r>
            <w:r w:rsidRPr="00012F54">
              <w:rPr>
                <w:rFonts w:ascii="Times New Roman" w:hAnsi="Times New Roman"/>
                <w:sz w:val="28"/>
                <w:szCs w:val="28"/>
                <w:lang w:val="uk-UA"/>
              </w:rPr>
              <w:t>адемол, 2 мг⁄кг</w:t>
            </w:r>
          </w:p>
        </w:tc>
        <w:tc>
          <w:tcPr>
            <w:tcW w:w="181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4,33±0,26º*</w:t>
            </w:r>
            <w:r w:rsidRPr="00012F54">
              <w:rPr>
                <w:rFonts w:ascii="Times New Roman" w:hAnsi="Times New Roman"/>
                <w:sz w:val="28"/>
                <w:szCs w:val="28"/>
                <w:vertAlign w:val="superscript"/>
                <w:lang w:val="uk-UA"/>
              </w:rPr>
              <w:t>#&amp;</w:t>
            </w:r>
          </w:p>
        </w:tc>
        <w:tc>
          <w:tcPr>
            <w:tcW w:w="2091"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2,73±0,21º*</w:t>
            </w:r>
            <w:r w:rsidRPr="00012F54">
              <w:rPr>
                <w:rFonts w:ascii="Times New Roman" w:hAnsi="Times New Roman"/>
                <w:sz w:val="28"/>
                <w:szCs w:val="28"/>
                <w:vertAlign w:val="superscript"/>
                <w:lang w:val="uk-UA"/>
              </w:rPr>
              <w:t>#&amp;</w:t>
            </w:r>
          </w:p>
        </w:tc>
      </w:tr>
      <w:tr w:rsidR="00012F54" w:rsidRPr="00012F54" w:rsidTr="00012F54">
        <w:trPr>
          <w:jc w:val="center"/>
        </w:trPr>
        <w:tc>
          <w:tcPr>
            <w:tcW w:w="5665" w:type="dxa"/>
            <w:vAlign w:val="center"/>
          </w:tcPr>
          <w:p w:rsidR="00012F54" w:rsidRPr="00012F54" w:rsidRDefault="00012F54" w:rsidP="00763508">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ВМК + німодипін, 30 мкг⁄кг</w:t>
            </w:r>
          </w:p>
        </w:tc>
        <w:tc>
          <w:tcPr>
            <w:tcW w:w="181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4,13±0,28º*</w:t>
            </w:r>
            <w:r w:rsidRPr="00012F54">
              <w:rPr>
                <w:rFonts w:ascii="Times New Roman" w:hAnsi="Times New Roman"/>
                <w:sz w:val="28"/>
                <w:szCs w:val="28"/>
                <w:vertAlign w:val="superscript"/>
                <w:lang w:val="uk-UA"/>
              </w:rPr>
              <w:t>#&amp;</w:t>
            </w:r>
          </w:p>
        </w:tc>
        <w:tc>
          <w:tcPr>
            <w:tcW w:w="2091"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2,87±0,22º*</w:t>
            </w:r>
            <w:r w:rsidRPr="00012F54">
              <w:rPr>
                <w:rFonts w:ascii="Times New Roman" w:hAnsi="Times New Roman"/>
                <w:sz w:val="28"/>
                <w:szCs w:val="28"/>
                <w:vertAlign w:val="superscript"/>
                <w:lang w:val="uk-UA"/>
              </w:rPr>
              <w:t>#&amp;</w:t>
            </w:r>
          </w:p>
        </w:tc>
      </w:tr>
      <w:tr w:rsidR="00012F54" w:rsidRPr="00012F54" w:rsidTr="00012F54">
        <w:trPr>
          <w:jc w:val="center"/>
        </w:trPr>
        <w:tc>
          <w:tcPr>
            <w:tcW w:w="5665" w:type="dxa"/>
            <w:vAlign w:val="center"/>
          </w:tcPr>
          <w:p w:rsidR="00012F54" w:rsidRPr="00012F54" w:rsidRDefault="00012F54" w:rsidP="00763508">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ВМК + амантадину сульфат, 10 мг⁄кг</w:t>
            </w:r>
          </w:p>
        </w:tc>
        <w:tc>
          <w:tcPr>
            <w:tcW w:w="181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5,13±0,20º*</w:t>
            </w:r>
            <w:r w:rsidRPr="00012F54">
              <w:rPr>
                <w:rFonts w:ascii="Times New Roman" w:hAnsi="Times New Roman"/>
                <w:sz w:val="28"/>
                <w:szCs w:val="28"/>
                <w:vertAlign w:val="superscript"/>
                <w:lang w:val="uk-UA"/>
              </w:rPr>
              <w:t>#</w:t>
            </w:r>
          </w:p>
        </w:tc>
        <w:tc>
          <w:tcPr>
            <w:tcW w:w="2091"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3,66±0,19º*</w:t>
            </w:r>
            <w:r w:rsidRPr="00012F54">
              <w:rPr>
                <w:rFonts w:ascii="Times New Roman" w:hAnsi="Times New Roman"/>
                <w:sz w:val="28"/>
                <w:szCs w:val="28"/>
                <w:vertAlign w:val="superscript"/>
                <w:lang w:val="uk-UA"/>
              </w:rPr>
              <w:t>#</w:t>
            </w:r>
          </w:p>
        </w:tc>
      </w:tr>
      <w:tr w:rsidR="00012F54" w:rsidRPr="00012F54" w:rsidTr="00012F54">
        <w:trPr>
          <w:jc w:val="center"/>
        </w:trPr>
        <w:tc>
          <w:tcPr>
            <w:tcW w:w="5665" w:type="dxa"/>
            <w:vAlign w:val="center"/>
          </w:tcPr>
          <w:p w:rsidR="00012F54" w:rsidRPr="00012F54" w:rsidRDefault="00012F54" w:rsidP="00763508">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ВМК + магнію сульфат,250 мг⁄кг</w:t>
            </w:r>
          </w:p>
        </w:tc>
        <w:tc>
          <w:tcPr>
            <w:tcW w:w="1810"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7,07±0,33º</w:t>
            </w:r>
          </w:p>
        </w:tc>
        <w:tc>
          <w:tcPr>
            <w:tcW w:w="2091" w:type="dxa"/>
            <w:vAlign w:val="center"/>
          </w:tcPr>
          <w:p w:rsidR="00012F54" w:rsidRPr="00012F54" w:rsidRDefault="00012F54" w:rsidP="00763508">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4,13±0,17º*</w:t>
            </w:r>
          </w:p>
        </w:tc>
      </w:tr>
    </w:tbl>
    <w:p w:rsidR="00012F54" w:rsidRPr="00763508" w:rsidRDefault="00012F54" w:rsidP="00B065B6">
      <w:pPr>
        <w:widowControl w:val="0"/>
        <w:tabs>
          <w:tab w:val="left" w:pos="0"/>
        </w:tabs>
        <w:spacing w:after="0" w:line="240" w:lineRule="auto"/>
        <w:ind w:firstLine="284"/>
        <w:jc w:val="both"/>
        <w:rPr>
          <w:rFonts w:ascii="Times New Roman" w:hAnsi="Times New Roman"/>
          <w:sz w:val="28"/>
          <w:szCs w:val="28"/>
          <w:lang w:val="uk-UA"/>
        </w:rPr>
      </w:pPr>
    </w:p>
    <w:p w:rsidR="00012F54" w:rsidRPr="00012F54" w:rsidRDefault="00012F54" w:rsidP="00B065B6">
      <w:pPr>
        <w:widowControl w:val="0"/>
        <w:tabs>
          <w:tab w:val="left" w:pos="0"/>
        </w:tabs>
        <w:spacing w:after="0" w:line="24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Примітки: </w:t>
      </w:r>
    </w:p>
    <w:p w:rsidR="00012F54" w:rsidRPr="0015531A" w:rsidRDefault="00012F54" w:rsidP="00B065B6">
      <w:pPr>
        <w:widowControl w:val="0"/>
        <w:tabs>
          <w:tab w:val="left" w:pos="0"/>
        </w:tabs>
        <w:spacing w:after="0" w:line="240" w:lineRule="auto"/>
        <w:ind w:firstLine="284"/>
        <w:jc w:val="both"/>
        <w:rPr>
          <w:rFonts w:ascii="Times New Roman" w:hAnsi="Times New Roman"/>
          <w:sz w:val="16"/>
          <w:szCs w:val="16"/>
          <w:lang w:val="uk-UA"/>
        </w:rPr>
      </w:pPr>
    </w:p>
    <w:p w:rsidR="00012F54" w:rsidRPr="00012F54" w:rsidRDefault="00012F54" w:rsidP="0036311A">
      <w:pPr>
        <w:widowControl w:val="0"/>
        <w:numPr>
          <w:ilvl w:val="0"/>
          <w:numId w:val="8"/>
        </w:numPr>
        <w:tabs>
          <w:tab w:val="left" w:pos="0"/>
          <w:tab w:val="left" w:pos="567"/>
          <w:tab w:val="left" w:pos="709"/>
          <w:tab w:val="left" w:pos="851"/>
        </w:tabs>
        <w:spacing w:after="0" w:line="360" w:lineRule="auto"/>
        <w:ind w:left="0" w:firstLine="567"/>
        <w:jc w:val="both"/>
        <w:rPr>
          <w:rFonts w:ascii="Times New Roman" w:hAnsi="Times New Roman"/>
          <w:sz w:val="28"/>
          <w:szCs w:val="28"/>
          <w:lang w:val="uk-UA"/>
        </w:rPr>
      </w:pPr>
      <w:r w:rsidRPr="00012F54">
        <w:rPr>
          <w:rFonts w:ascii="Times New Roman" w:hAnsi="Times New Roman"/>
          <w:sz w:val="28"/>
          <w:szCs w:val="28"/>
          <w:lang w:val="uk-UA"/>
        </w:rPr>
        <w:t>º – р&lt;0,05 відносно псевдооперованих тварин;</w:t>
      </w:r>
    </w:p>
    <w:p w:rsidR="00012F54" w:rsidRPr="00012F54" w:rsidRDefault="0036311A" w:rsidP="00763508">
      <w:pPr>
        <w:widowControl w:val="0"/>
        <w:tabs>
          <w:tab w:val="left" w:pos="0"/>
          <w:tab w:val="left" w:pos="1276"/>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w:t>
      </w:r>
      <w:r w:rsidR="00012F54" w:rsidRPr="00012F54">
        <w:rPr>
          <w:rFonts w:ascii="Times New Roman" w:hAnsi="Times New Roman"/>
          <w:sz w:val="28"/>
          <w:szCs w:val="28"/>
          <w:lang w:val="uk-UA"/>
        </w:rPr>
        <w:t>.* – р&lt;0,05 відносно контрольної патології;</w:t>
      </w:r>
    </w:p>
    <w:p w:rsidR="00012F54" w:rsidRPr="00012F54" w:rsidRDefault="0036311A" w:rsidP="00763508">
      <w:pPr>
        <w:widowControl w:val="0"/>
        <w:tabs>
          <w:tab w:val="left" w:pos="0"/>
          <w:tab w:val="left" w:pos="1276"/>
        </w:tabs>
        <w:spacing w:after="0" w:line="360" w:lineRule="auto"/>
        <w:ind w:firstLine="567"/>
        <w:rPr>
          <w:rFonts w:ascii="Times New Roman" w:hAnsi="Times New Roman"/>
          <w:sz w:val="28"/>
          <w:szCs w:val="28"/>
          <w:lang w:val="uk-UA"/>
        </w:rPr>
      </w:pPr>
      <w:r>
        <w:rPr>
          <w:rFonts w:ascii="Times New Roman" w:hAnsi="Times New Roman"/>
          <w:sz w:val="28"/>
          <w:szCs w:val="28"/>
          <w:lang w:val="uk-UA"/>
        </w:rPr>
        <w:t>3</w:t>
      </w:r>
      <w:r w:rsidR="00012F54" w:rsidRPr="00012F54">
        <w:rPr>
          <w:rFonts w:ascii="Times New Roman" w:hAnsi="Times New Roman"/>
          <w:sz w:val="28"/>
          <w:szCs w:val="28"/>
          <w:lang w:val="uk-UA"/>
        </w:rPr>
        <w:t xml:space="preserve">. </w:t>
      </w:r>
      <w:r w:rsidR="00012F54" w:rsidRPr="00012F54">
        <w:rPr>
          <w:rFonts w:ascii="Times New Roman" w:hAnsi="Times New Roman"/>
          <w:sz w:val="28"/>
          <w:szCs w:val="28"/>
          <w:vertAlign w:val="superscript"/>
          <w:lang w:val="uk-UA"/>
        </w:rPr>
        <w:t xml:space="preserve"># </w:t>
      </w:r>
      <w:r w:rsidR="00012F54" w:rsidRPr="00012F54">
        <w:rPr>
          <w:rFonts w:ascii="Times New Roman" w:hAnsi="Times New Roman"/>
          <w:sz w:val="28"/>
          <w:szCs w:val="28"/>
          <w:lang w:val="uk-UA"/>
        </w:rPr>
        <w:t>– р&lt;0,05 відносно магнію сульфату (250 мг/кг);</w:t>
      </w:r>
    </w:p>
    <w:p w:rsidR="00012F54" w:rsidRPr="00012F54" w:rsidRDefault="0036311A" w:rsidP="00763508">
      <w:pPr>
        <w:widowControl w:val="0"/>
        <w:tabs>
          <w:tab w:val="left" w:pos="0"/>
          <w:tab w:val="left" w:pos="1276"/>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4</w:t>
      </w:r>
      <w:r w:rsidR="00012F54" w:rsidRPr="00012F54">
        <w:rPr>
          <w:rFonts w:ascii="Times New Roman" w:hAnsi="Times New Roman"/>
          <w:sz w:val="28"/>
          <w:szCs w:val="28"/>
          <w:lang w:val="uk-UA"/>
        </w:rPr>
        <w:t xml:space="preserve">. </w:t>
      </w:r>
      <w:r w:rsidR="00012F54" w:rsidRPr="00012F54">
        <w:rPr>
          <w:rFonts w:ascii="Times New Roman" w:hAnsi="Times New Roman"/>
          <w:sz w:val="28"/>
          <w:szCs w:val="28"/>
          <w:vertAlign w:val="superscript"/>
          <w:lang w:val="uk-UA"/>
        </w:rPr>
        <w:t>&amp;</w:t>
      </w:r>
      <w:r w:rsidR="00012F54" w:rsidRPr="00012F54">
        <w:rPr>
          <w:rFonts w:ascii="Times New Roman" w:hAnsi="Times New Roman"/>
          <w:sz w:val="28"/>
          <w:szCs w:val="28"/>
          <w:lang w:val="uk-UA"/>
        </w:rPr>
        <w:t>– р&lt;0,05 відносно амантадину сульфату (10 мг/кг).</w:t>
      </w:r>
    </w:p>
    <w:p w:rsidR="0036311A" w:rsidRDefault="0036311A" w:rsidP="0036311A">
      <w:pPr>
        <w:widowControl w:val="0"/>
        <w:spacing w:after="0" w:line="360" w:lineRule="auto"/>
        <w:ind w:firstLine="284"/>
        <w:jc w:val="both"/>
        <w:rPr>
          <w:rFonts w:ascii="Times New Roman" w:hAnsi="Times New Roman"/>
          <w:sz w:val="28"/>
          <w:szCs w:val="28"/>
          <w:lang w:val="uk-UA"/>
        </w:rPr>
      </w:pPr>
    </w:p>
    <w:p w:rsidR="0036311A" w:rsidRPr="00012F54" w:rsidRDefault="0036311A" w:rsidP="0036311A">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Спостереження на 21-шу добу показали, що у щурів не відмічено повноцінне відновлення втрачених функцій ЦНС. На користь такого твердження, по-перше, вказував наявний неврологічний дефіцит (4,8 бали). </w:t>
      </w:r>
    </w:p>
    <w:p w:rsidR="0036311A" w:rsidRDefault="0036311A" w:rsidP="0036311A">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По-друге, дослідження процесів пам’яті та навчання на 21-шу добу ГПМК за критерієм зменшення латентного періоду входу до темної камери, де тварини напередодні зазнавали електробольового подразнення свідчать про пригнічення мнестичних функцій, про що мова йтиме далі (табл. 3.10).</w:t>
      </w:r>
    </w:p>
    <w:p w:rsidR="00012F54" w:rsidRPr="00763508" w:rsidRDefault="00012F54" w:rsidP="00B065B6">
      <w:pPr>
        <w:widowControl w:val="0"/>
        <w:tabs>
          <w:tab w:val="left" w:pos="0"/>
        </w:tabs>
        <w:spacing w:after="0" w:line="360" w:lineRule="auto"/>
        <w:ind w:firstLine="284"/>
        <w:jc w:val="both"/>
        <w:rPr>
          <w:rFonts w:ascii="Times New Roman" w:hAnsi="Times New Roman"/>
          <w:sz w:val="28"/>
          <w:szCs w:val="28"/>
          <w:lang w:val="uk-UA"/>
        </w:rPr>
      </w:pPr>
    </w:p>
    <w:p w:rsidR="0015531A" w:rsidRPr="00E93435" w:rsidRDefault="0015531A" w:rsidP="0015531A">
      <w:pPr>
        <w:widowControl w:val="0"/>
        <w:spacing w:after="0" w:line="360" w:lineRule="auto"/>
        <w:ind w:firstLine="284"/>
        <w:jc w:val="both"/>
        <w:rPr>
          <w:rFonts w:ascii="Times New Roman" w:hAnsi="Times New Roman"/>
          <w:sz w:val="16"/>
          <w:szCs w:val="16"/>
          <w:lang w:val="uk-UA"/>
        </w:rPr>
      </w:pPr>
    </w:p>
    <w:p w:rsidR="00012F54" w:rsidRPr="00012F54" w:rsidRDefault="00012F54" w:rsidP="00012F54">
      <w:pPr>
        <w:widowControl w:val="0"/>
        <w:spacing w:after="0" w:line="240" w:lineRule="auto"/>
        <w:ind w:firstLine="284"/>
        <w:jc w:val="right"/>
        <w:rPr>
          <w:rFonts w:ascii="Times New Roman" w:hAnsi="Times New Roman"/>
          <w:sz w:val="28"/>
          <w:szCs w:val="28"/>
          <w:lang w:val="uk-UA"/>
        </w:rPr>
      </w:pPr>
      <w:r w:rsidRPr="00012F54">
        <w:rPr>
          <w:rFonts w:ascii="Times New Roman" w:hAnsi="Times New Roman"/>
          <w:sz w:val="28"/>
          <w:szCs w:val="28"/>
          <w:lang w:val="uk-UA"/>
        </w:rPr>
        <w:t>Таблиця 3.10</w:t>
      </w:r>
    </w:p>
    <w:p w:rsidR="00012F54" w:rsidRPr="0015531A" w:rsidRDefault="00012F54" w:rsidP="00012F54">
      <w:pPr>
        <w:widowControl w:val="0"/>
        <w:spacing w:after="0" w:line="240" w:lineRule="auto"/>
        <w:ind w:firstLine="284"/>
        <w:jc w:val="right"/>
        <w:rPr>
          <w:rFonts w:ascii="Times New Roman" w:hAnsi="Times New Roman"/>
          <w:sz w:val="16"/>
          <w:szCs w:val="16"/>
          <w:lang w:val="uk-UA"/>
        </w:rPr>
      </w:pP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 xml:space="preserve">Вплив адемолута референс-препаратів нанавчання та пам'ять щурів </w:t>
      </w:r>
    </w:p>
    <w:p w:rsidR="00012F54" w:rsidRPr="00012F54" w:rsidRDefault="00012F54" w:rsidP="00012F54">
      <w:pPr>
        <w:widowControl w:val="0"/>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 xml:space="preserve">ізвнутрішньомозковим крововиливому відновний період інсульту </w:t>
      </w:r>
    </w:p>
    <w:p w:rsidR="00012F54" w:rsidRPr="00012F54" w:rsidRDefault="00012F54" w:rsidP="00012F54">
      <w:pPr>
        <w:widowControl w:val="0"/>
        <w:tabs>
          <w:tab w:val="left" w:pos="8175"/>
        </w:tabs>
        <w:spacing w:after="0" w:line="360" w:lineRule="auto"/>
        <w:ind w:firstLine="284"/>
        <w:jc w:val="center"/>
        <w:rPr>
          <w:rFonts w:ascii="Times New Roman" w:hAnsi="Times New Roman"/>
          <w:sz w:val="28"/>
          <w:szCs w:val="28"/>
          <w:lang w:val="uk-UA"/>
        </w:rPr>
      </w:pPr>
      <w:r w:rsidRPr="00012F54">
        <w:rPr>
          <w:rFonts w:ascii="Times New Roman" w:hAnsi="Times New Roman"/>
          <w:sz w:val="28"/>
          <w:szCs w:val="28"/>
          <w:lang w:val="uk-UA"/>
        </w:rPr>
        <w:t>за тестом умовної реакції пасивного уникнення (M±m, n=15)</w:t>
      </w:r>
    </w:p>
    <w:p w:rsidR="00012F54" w:rsidRPr="0036311A" w:rsidRDefault="00012F54" w:rsidP="00012F54">
      <w:pPr>
        <w:widowControl w:val="0"/>
        <w:tabs>
          <w:tab w:val="left" w:pos="8175"/>
        </w:tabs>
        <w:spacing w:after="0" w:line="240" w:lineRule="auto"/>
        <w:ind w:firstLine="284"/>
        <w:jc w:val="center"/>
        <w:rPr>
          <w:rFonts w:ascii="Times New Roman" w:hAnsi="Times New Roman"/>
          <w:b/>
          <w:sz w:val="28"/>
          <w:szCs w:val="28"/>
          <w:lang w:val="uk-UA"/>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4"/>
        <w:gridCol w:w="1984"/>
        <w:gridCol w:w="2268"/>
      </w:tblGrid>
      <w:tr w:rsidR="00012F54" w:rsidRPr="00012F54" w:rsidTr="00012F54">
        <w:trPr>
          <w:jc w:val="center"/>
        </w:trPr>
        <w:tc>
          <w:tcPr>
            <w:tcW w:w="5524" w:type="dxa"/>
            <w:vMerge w:val="restart"/>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Групи тварин</w:t>
            </w:r>
          </w:p>
        </w:tc>
        <w:tc>
          <w:tcPr>
            <w:tcW w:w="4252" w:type="dxa"/>
            <w:gridSpan w:val="2"/>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Латентний період входу в темну камеру, с</w:t>
            </w:r>
          </w:p>
        </w:tc>
      </w:tr>
      <w:tr w:rsidR="00012F54" w:rsidRPr="00012F54" w:rsidTr="00012F54">
        <w:trPr>
          <w:jc w:val="center"/>
        </w:trPr>
        <w:tc>
          <w:tcPr>
            <w:tcW w:w="5524" w:type="dxa"/>
            <w:vMerge/>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p>
        </w:tc>
        <w:tc>
          <w:tcPr>
            <w:tcW w:w="1984"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до навчання</w:t>
            </w:r>
          </w:p>
        </w:tc>
        <w:tc>
          <w:tcPr>
            <w:tcW w:w="2268"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через 24 год після навчаня</w:t>
            </w:r>
          </w:p>
        </w:tc>
      </w:tr>
      <w:tr w:rsidR="00012F54" w:rsidRPr="00012F54" w:rsidTr="00012F54">
        <w:trPr>
          <w:jc w:val="center"/>
        </w:trPr>
        <w:tc>
          <w:tcPr>
            <w:tcW w:w="5524" w:type="dxa"/>
            <w:vAlign w:val="center"/>
          </w:tcPr>
          <w:p w:rsidR="00012F54" w:rsidRPr="00012F54" w:rsidRDefault="00012F54" w:rsidP="00473231">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 xml:space="preserve">Псевдооперовані тварини+ </w:t>
            </w:r>
          </w:p>
          <w:p w:rsidR="00012F54" w:rsidRPr="00012F54" w:rsidRDefault="00012F54" w:rsidP="00473231">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0,9% NаСІ, 2 мл/кг</w:t>
            </w:r>
          </w:p>
        </w:tc>
        <w:tc>
          <w:tcPr>
            <w:tcW w:w="1984"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5,47±0,36</w:t>
            </w:r>
          </w:p>
        </w:tc>
        <w:tc>
          <w:tcPr>
            <w:tcW w:w="2268"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219,27±2,12</w:t>
            </w:r>
          </w:p>
        </w:tc>
      </w:tr>
      <w:tr w:rsidR="00012F54" w:rsidRPr="00012F54" w:rsidTr="00012F54">
        <w:trPr>
          <w:jc w:val="center"/>
        </w:trPr>
        <w:tc>
          <w:tcPr>
            <w:tcW w:w="5524" w:type="dxa"/>
            <w:vAlign w:val="center"/>
          </w:tcPr>
          <w:p w:rsidR="00012F54" w:rsidRPr="00012F54" w:rsidRDefault="00012F54" w:rsidP="00473231">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ВМК + 0,9% NаСІ, 2 мл/кг</w:t>
            </w:r>
          </w:p>
          <w:p w:rsidR="00012F54" w:rsidRPr="00012F54" w:rsidRDefault="00012F54" w:rsidP="00473231">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(група контрольної патології)</w:t>
            </w:r>
          </w:p>
        </w:tc>
        <w:tc>
          <w:tcPr>
            <w:tcW w:w="1984"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20,67±0,63</w:t>
            </w:r>
          </w:p>
        </w:tc>
        <w:tc>
          <w:tcPr>
            <w:tcW w:w="2268"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42,86±0,95º</w:t>
            </w:r>
          </w:p>
        </w:tc>
      </w:tr>
      <w:tr w:rsidR="00012F54" w:rsidRPr="00012F54" w:rsidTr="00012F54">
        <w:trPr>
          <w:jc w:val="center"/>
        </w:trPr>
        <w:tc>
          <w:tcPr>
            <w:tcW w:w="5524" w:type="dxa"/>
            <w:vAlign w:val="center"/>
          </w:tcPr>
          <w:p w:rsidR="00012F54" w:rsidRPr="00012F54" w:rsidRDefault="00012F54" w:rsidP="00473231">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ВМК</w:t>
            </w:r>
            <w:r w:rsidRPr="00012F54">
              <w:rPr>
                <w:rFonts w:ascii="Times New Roman" w:hAnsi="Times New Roman"/>
                <w:b/>
                <w:sz w:val="28"/>
                <w:szCs w:val="28"/>
                <w:lang w:val="uk-UA"/>
              </w:rPr>
              <w:t xml:space="preserve"> + </w:t>
            </w:r>
            <w:r w:rsidRPr="00012F54">
              <w:rPr>
                <w:rFonts w:ascii="Times New Roman" w:hAnsi="Times New Roman"/>
                <w:sz w:val="28"/>
                <w:szCs w:val="28"/>
                <w:lang w:val="uk-UA"/>
              </w:rPr>
              <w:t>адемол, 2 мг⁄кг</w:t>
            </w:r>
          </w:p>
        </w:tc>
        <w:tc>
          <w:tcPr>
            <w:tcW w:w="1984"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9,73±0,34º*</w:t>
            </w:r>
            <w:r w:rsidRPr="00012F54">
              <w:rPr>
                <w:rFonts w:ascii="Times New Roman" w:hAnsi="Times New Roman"/>
                <w:sz w:val="28"/>
                <w:szCs w:val="28"/>
                <w:vertAlign w:val="superscript"/>
                <w:lang w:val="uk-UA"/>
              </w:rPr>
              <w:t>#α&amp;</w:t>
            </w:r>
          </w:p>
        </w:tc>
        <w:tc>
          <w:tcPr>
            <w:tcW w:w="2268"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125,53±2,37º*</w:t>
            </w:r>
            <w:r w:rsidRPr="00012F54">
              <w:rPr>
                <w:rFonts w:ascii="Times New Roman" w:hAnsi="Times New Roman"/>
                <w:sz w:val="28"/>
                <w:szCs w:val="28"/>
                <w:vertAlign w:val="superscript"/>
                <w:lang w:val="uk-UA"/>
              </w:rPr>
              <w:t>#α&amp;</w:t>
            </w:r>
          </w:p>
        </w:tc>
      </w:tr>
      <w:tr w:rsidR="00012F54" w:rsidRPr="00012F54" w:rsidTr="00012F54">
        <w:trPr>
          <w:jc w:val="center"/>
        </w:trPr>
        <w:tc>
          <w:tcPr>
            <w:tcW w:w="5524" w:type="dxa"/>
            <w:vAlign w:val="center"/>
          </w:tcPr>
          <w:p w:rsidR="00012F54" w:rsidRPr="00012F54" w:rsidRDefault="00012F54" w:rsidP="00473231">
            <w:pPr>
              <w:widowControl w:val="0"/>
              <w:spacing w:before="60" w:after="60" w:line="240" w:lineRule="auto"/>
              <w:rPr>
                <w:rFonts w:ascii="Times New Roman" w:hAnsi="Times New Roman"/>
                <w:b/>
                <w:sz w:val="28"/>
                <w:szCs w:val="28"/>
                <w:lang w:val="uk-UA"/>
              </w:rPr>
            </w:pPr>
            <w:r w:rsidRPr="00012F54">
              <w:rPr>
                <w:rFonts w:ascii="Times New Roman" w:hAnsi="Times New Roman"/>
                <w:sz w:val="28"/>
                <w:szCs w:val="28"/>
                <w:lang w:val="uk-UA"/>
              </w:rPr>
              <w:t>ВМК + німодипін, 30 мкг⁄кг</w:t>
            </w:r>
          </w:p>
        </w:tc>
        <w:tc>
          <w:tcPr>
            <w:tcW w:w="1984"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11,2±0,53º*</w:t>
            </w:r>
            <w:r w:rsidRPr="00012F54">
              <w:rPr>
                <w:rFonts w:ascii="Times New Roman" w:hAnsi="Times New Roman"/>
                <w:sz w:val="28"/>
                <w:szCs w:val="28"/>
                <w:vertAlign w:val="superscript"/>
                <w:lang w:val="uk-UA"/>
              </w:rPr>
              <w:t>#&amp;</w:t>
            </w:r>
          </w:p>
        </w:tc>
        <w:tc>
          <w:tcPr>
            <w:tcW w:w="2268"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107,8±2,34º*</w:t>
            </w:r>
            <w:r w:rsidRPr="00012F54">
              <w:rPr>
                <w:rFonts w:ascii="Times New Roman" w:hAnsi="Times New Roman"/>
                <w:sz w:val="28"/>
                <w:szCs w:val="28"/>
                <w:vertAlign w:val="superscript"/>
                <w:lang w:val="uk-UA"/>
              </w:rPr>
              <w:t>#α&amp;</w:t>
            </w:r>
          </w:p>
        </w:tc>
      </w:tr>
      <w:tr w:rsidR="00012F54" w:rsidRPr="00012F54" w:rsidTr="00012F54">
        <w:trPr>
          <w:jc w:val="center"/>
        </w:trPr>
        <w:tc>
          <w:tcPr>
            <w:tcW w:w="5524" w:type="dxa"/>
            <w:vAlign w:val="center"/>
          </w:tcPr>
          <w:p w:rsidR="00012F54" w:rsidRPr="00012F54" w:rsidRDefault="00012F54" w:rsidP="00473231">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ВМК + амантадину сульфат, 10 мг⁄кг</w:t>
            </w:r>
          </w:p>
        </w:tc>
        <w:tc>
          <w:tcPr>
            <w:tcW w:w="1984"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13,00±0,40º*</w:t>
            </w:r>
            <w:r w:rsidRPr="00012F54">
              <w:rPr>
                <w:rFonts w:ascii="Times New Roman" w:hAnsi="Times New Roman"/>
                <w:sz w:val="28"/>
                <w:szCs w:val="28"/>
                <w:vertAlign w:val="superscript"/>
                <w:lang w:val="uk-UA"/>
              </w:rPr>
              <w:t>#</w:t>
            </w:r>
          </w:p>
        </w:tc>
        <w:tc>
          <w:tcPr>
            <w:tcW w:w="2268"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103,00±3,97*</w:t>
            </w:r>
            <w:r w:rsidRPr="00012F54">
              <w:rPr>
                <w:rFonts w:ascii="Times New Roman" w:hAnsi="Times New Roman"/>
                <w:sz w:val="28"/>
                <w:szCs w:val="28"/>
                <w:vertAlign w:val="superscript"/>
                <w:lang w:val="uk-UA"/>
              </w:rPr>
              <w:t>#&amp;</w:t>
            </w:r>
          </w:p>
        </w:tc>
      </w:tr>
      <w:tr w:rsidR="00012F54" w:rsidRPr="00012F54" w:rsidTr="00012F54">
        <w:trPr>
          <w:jc w:val="center"/>
        </w:trPr>
        <w:tc>
          <w:tcPr>
            <w:tcW w:w="5524" w:type="dxa"/>
            <w:vAlign w:val="center"/>
          </w:tcPr>
          <w:p w:rsidR="00012F54" w:rsidRPr="00012F54" w:rsidRDefault="00012F54" w:rsidP="00473231">
            <w:pPr>
              <w:widowControl w:val="0"/>
              <w:spacing w:before="60" w:after="60" w:line="240" w:lineRule="auto"/>
              <w:rPr>
                <w:rFonts w:ascii="Times New Roman" w:hAnsi="Times New Roman"/>
                <w:sz w:val="28"/>
                <w:szCs w:val="28"/>
                <w:lang w:val="uk-UA"/>
              </w:rPr>
            </w:pPr>
            <w:r w:rsidRPr="00012F54">
              <w:rPr>
                <w:rFonts w:ascii="Times New Roman" w:hAnsi="Times New Roman"/>
                <w:sz w:val="28"/>
                <w:szCs w:val="28"/>
                <w:lang w:val="uk-UA"/>
              </w:rPr>
              <w:t>ВМК + магнію сульфат, 250 мг⁄кг</w:t>
            </w:r>
          </w:p>
        </w:tc>
        <w:tc>
          <w:tcPr>
            <w:tcW w:w="1984"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16,0±0,43º*</w:t>
            </w:r>
          </w:p>
        </w:tc>
        <w:tc>
          <w:tcPr>
            <w:tcW w:w="2268" w:type="dxa"/>
            <w:vAlign w:val="center"/>
          </w:tcPr>
          <w:p w:rsidR="00012F54" w:rsidRPr="00012F54" w:rsidRDefault="00012F54" w:rsidP="00473231">
            <w:pPr>
              <w:widowControl w:val="0"/>
              <w:spacing w:before="60" w:after="60" w:line="240" w:lineRule="auto"/>
              <w:jc w:val="center"/>
              <w:rPr>
                <w:rFonts w:ascii="Times New Roman" w:hAnsi="Times New Roman"/>
                <w:sz w:val="28"/>
                <w:szCs w:val="28"/>
                <w:lang w:val="uk-UA"/>
              </w:rPr>
            </w:pPr>
            <w:r w:rsidRPr="00012F54">
              <w:rPr>
                <w:rFonts w:ascii="Times New Roman" w:hAnsi="Times New Roman"/>
                <w:sz w:val="28"/>
                <w:szCs w:val="28"/>
                <w:lang w:val="uk-UA"/>
              </w:rPr>
              <w:t>70,47±1,96º*</w:t>
            </w:r>
          </w:p>
        </w:tc>
      </w:tr>
    </w:tbl>
    <w:p w:rsidR="00012F54" w:rsidRPr="0036311A" w:rsidRDefault="00012F54" w:rsidP="00B065B6">
      <w:pPr>
        <w:widowControl w:val="0"/>
        <w:tabs>
          <w:tab w:val="left" w:pos="1080"/>
        </w:tabs>
        <w:spacing w:after="0" w:line="240" w:lineRule="auto"/>
        <w:ind w:firstLine="284"/>
        <w:jc w:val="both"/>
        <w:rPr>
          <w:rFonts w:ascii="Times New Roman" w:hAnsi="Times New Roman"/>
          <w:sz w:val="28"/>
          <w:szCs w:val="28"/>
          <w:lang w:val="uk-UA"/>
        </w:rPr>
      </w:pPr>
    </w:p>
    <w:p w:rsidR="00012F54" w:rsidRPr="00012F54" w:rsidRDefault="00012F54" w:rsidP="00B065B6">
      <w:pPr>
        <w:widowControl w:val="0"/>
        <w:tabs>
          <w:tab w:val="left" w:pos="1080"/>
        </w:tabs>
        <w:spacing w:after="0" w:line="24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Примітки: </w:t>
      </w:r>
    </w:p>
    <w:p w:rsidR="00012F54" w:rsidRPr="0015531A" w:rsidRDefault="00012F54" w:rsidP="00B065B6">
      <w:pPr>
        <w:pStyle w:val="a5"/>
        <w:widowControl w:val="0"/>
        <w:tabs>
          <w:tab w:val="left" w:pos="1701"/>
        </w:tabs>
        <w:spacing w:after="0" w:line="240" w:lineRule="auto"/>
        <w:ind w:left="284" w:firstLine="284"/>
        <w:jc w:val="both"/>
        <w:rPr>
          <w:rFonts w:ascii="Times New Roman" w:hAnsi="Times New Roman"/>
          <w:sz w:val="16"/>
          <w:szCs w:val="16"/>
          <w:lang w:val="uk-UA"/>
        </w:rPr>
      </w:pPr>
    </w:p>
    <w:p w:rsidR="00012F54" w:rsidRPr="00012F54" w:rsidRDefault="00012F54" w:rsidP="00B065B6">
      <w:pPr>
        <w:widowControl w:val="0"/>
        <w:numPr>
          <w:ilvl w:val="0"/>
          <w:numId w:val="9"/>
        </w:numPr>
        <w:tabs>
          <w:tab w:val="left" w:pos="709"/>
          <w:tab w:val="left" w:pos="1701"/>
        </w:tabs>
        <w:spacing w:after="0" w:line="360" w:lineRule="auto"/>
        <w:ind w:left="425" w:firstLine="284"/>
        <w:jc w:val="both"/>
        <w:rPr>
          <w:rFonts w:ascii="Times New Roman" w:hAnsi="Times New Roman"/>
          <w:sz w:val="28"/>
          <w:szCs w:val="28"/>
          <w:lang w:val="uk-UA"/>
        </w:rPr>
      </w:pPr>
      <w:r w:rsidRPr="00012F54">
        <w:rPr>
          <w:rFonts w:ascii="Times New Roman" w:hAnsi="Times New Roman"/>
          <w:sz w:val="28"/>
          <w:szCs w:val="28"/>
          <w:lang w:val="uk-UA"/>
        </w:rPr>
        <w:t>º – р&lt;0,05 відносно псевдооперованих тварин;</w:t>
      </w:r>
    </w:p>
    <w:p w:rsidR="00012F54" w:rsidRPr="00012F54" w:rsidRDefault="00012F54" w:rsidP="00B065B6">
      <w:pPr>
        <w:widowControl w:val="0"/>
        <w:tabs>
          <w:tab w:val="left" w:pos="1276"/>
        </w:tabs>
        <w:spacing w:after="0" w:line="360" w:lineRule="auto"/>
        <w:ind w:left="425" w:firstLine="284"/>
        <w:jc w:val="both"/>
        <w:rPr>
          <w:rFonts w:ascii="Times New Roman" w:hAnsi="Times New Roman"/>
          <w:sz w:val="28"/>
          <w:szCs w:val="28"/>
          <w:lang w:val="uk-UA"/>
        </w:rPr>
      </w:pPr>
      <w:r w:rsidRPr="00012F54">
        <w:rPr>
          <w:rFonts w:ascii="Times New Roman" w:hAnsi="Times New Roman"/>
          <w:sz w:val="28"/>
          <w:szCs w:val="28"/>
          <w:lang w:val="uk-UA"/>
        </w:rPr>
        <w:t>3.* – р&lt;0,05 відносно контрольної патології;</w:t>
      </w:r>
    </w:p>
    <w:p w:rsidR="00012F54" w:rsidRPr="00012F54" w:rsidRDefault="00012F54" w:rsidP="00B065B6">
      <w:pPr>
        <w:widowControl w:val="0"/>
        <w:tabs>
          <w:tab w:val="left" w:pos="1276"/>
        </w:tabs>
        <w:spacing w:after="0" w:line="360" w:lineRule="auto"/>
        <w:ind w:left="425" w:firstLine="284"/>
        <w:rPr>
          <w:rFonts w:ascii="Times New Roman" w:hAnsi="Times New Roman"/>
          <w:sz w:val="28"/>
          <w:szCs w:val="28"/>
          <w:lang w:val="uk-UA"/>
        </w:rPr>
      </w:pPr>
      <w:r w:rsidRPr="00012F54">
        <w:rPr>
          <w:rFonts w:ascii="Times New Roman" w:hAnsi="Times New Roman"/>
          <w:sz w:val="28"/>
          <w:szCs w:val="28"/>
          <w:lang w:val="uk-UA"/>
        </w:rPr>
        <w:t xml:space="preserve">4. </w:t>
      </w:r>
      <w:r w:rsidRPr="00012F54">
        <w:rPr>
          <w:rFonts w:ascii="Times New Roman" w:hAnsi="Times New Roman"/>
          <w:sz w:val="28"/>
          <w:szCs w:val="28"/>
          <w:vertAlign w:val="superscript"/>
          <w:lang w:val="uk-UA"/>
        </w:rPr>
        <w:t xml:space="preserve"># </w:t>
      </w:r>
      <w:r w:rsidRPr="00012F54">
        <w:rPr>
          <w:rFonts w:ascii="Times New Roman" w:hAnsi="Times New Roman"/>
          <w:sz w:val="28"/>
          <w:szCs w:val="28"/>
          <w:lang w:val="uk-UA"/>
        </w:rPr>
        <w:t>– р&lt;0,05 відносно магнію сульфату (250 мг/кг);</w:t>
      </w:r>
    </w:p>
    <w:p w:rsidR="00012F54" w:rsidRPr="00012F54" w:rsidRDefault="00012F54" w:rsidP="00B065B6">
      <w:pPr>
        <w:widowControl w:val="0"/>
        <w:tabs>
          <w:tab w:val="left" w:pos="1276"/>
        </w:tabs>
        <w:spacing w:after="0" w:line="360" w:lineRule="auto"/>
        <w:ind w:left="425" w:firstLine="284"/>
        <w:rPr>
          <w:rFonts w:ascii="Times New Roman" w:hAnsi="Times New Roman"/>
          <w:sz w:val="28"/>
          <w:szCs w:val="28"/>
          <w:lang w:val="uk-UA"/>
        </w:rPr>
      </w:pPr>
      <w:r w:rsidRPr="00012F54">
        <w:rPr>
          <w:rFonts w:ascii="Times New Roman" w:hAnsi="Times New Roman"/>
          <w:sz w:val="28"/>
          <w:szCs w:val="28"/>
          <w:lang w:val="uk-UA"/>
        </w:rPr>
        <w:t>5.α – р&lt;0,05 відносно німодипіну (30 мкг⁄кг);</w:t>
      </w:r>
    </w:p>
    <w:p w:rsidR="00012F54" w:rsidRPr="00012F54" w:rsidRDefault="00012F54" w:rsidP="00B065B6">
      <w:pPr>
        <w:widowControl w:val="0"/>
        <w:tabs>
          <w:tab w:val="left" w:pos="1276"/>
        </w:tabs>
        <w:spacing w:after="0" w:line="360" w:lineRule="auto"/>
        <w:ind w:left="425" w:firstLine="284"/>
        <w:jc w:val="both"/>
        <w:rPr>
          <w:rFonts w:ascii="Times New Roman" w:hAnsi="Times New Roman"/>
          <w:sz w:val="28"/>
          <w:szCs w:val="28"/>
          <w:lang w:val="uk-UA"/>
        </w:rPr>
      </w:pPr>
      <w:r w:rsidRPr="00012F54">
        <w:rPr>
          <w:rFonts w:ascii="Times New Roman" w:hAnsi="Times New Roman"/>
          <w:sz w:val="28"/>
          <w:szCs w:val="28"/>
          <w:lang w:val="uk-UA"/>
        </w:rPr>
        <w:t xml:space="preserve">6. </w:t>
      </w:r>
      <w:r w:rsidRPr="00012F54">
        <w:rPr>
          <w:rFonts w:ascii="Times New Roman" w:hAnsi="Times New Roman"/>
          <w:sz w:val="28"/>
          <w:szCs w:val="28"/>
          <w:vertAlign w:val="superscript"/>
          <w:lang w:val="uk-UA"/>
        </w:rPr>
        <w:t>&amp;</w:t>
      </w:r>
      <w:r w:rsidRPr="00012F54">
        <w:rPr>
          <w:rFonts w:ascii="Times New Roman" w:hAnsi="Times New Roman"/>
          <w:sz w:val="28"/>
          <w:szCs w:val="28"/>
          <w:lang w:val="uk-UA"/>
        </w:rPr>
        <w:t>– р&lt;0,05 відносно амантадину сульфату (10 мг/кг).</w:t>
      </w:r>
    </w:p>
    <w:p w:rsidR="000615DD" w:rsidRPr="0036311A" w:rsidRDefault="000615DD" w:rsidP="00B065B6">
      <w:pPr>
        <w:widowControl w:val="0"/>
        <w:spacing w:after="0" w:line="360" w:lineRule="auto"/>
        <w:ind w:firstLine="284"/>
        <w:jc w:val="both"/>
        <w:rPr>
          <w:rFonts w:ascii="Times New Roman" w:hAnsi="Times New Roman"/>
          <w:sz w:val="28"/>
          <w:szCs w:val="28"/>
          <w:lang w:val="uk-UA"/>
        </w:rPr>
      </w:pPr>
    </w:p>
    <w:p w:rsidR="0036311A" w:rsidRDefault="0036311A" w:rsidP="0036311A">
      <w:pPr>
        <w:widowControl w:val="0"/>
        <w:tabs>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Експериментальне лікування щурів із ВМК адемолом, як і референсними препаратами, сприяла покращенню неврологічного статусу вже на 4-ту добу церебральної ІР (табл. 3.4).</w:t>
      </w:r>
    </w:p>
    <w:p w:rsidR="0036311A" w:rsidRPr="00012F54" w:rsidRDefault="0036311A" w:rsidP="0036311A">
      <w:pPr>
        <w:widowControl w:val="0"/>
        <w:tabs>
          <w:tab w:val="left" w:pos="0"/>
        </w:tabs>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Аналізуючи динаміку регресу неврологічного дефіциту, можна відзначити, що у ранній період ГПМК адемол вірогідно переважав ефективність амантадину і магнію сульфату, співставляючись при цьому з німодипіном: на 4-ту добу спостереження </w:t>
      </w:r>
      <w:r w:rsidRPr="00012F54">
        <w:rPr>
          <w:rFonts w:ascii="Times New Roman" w:hAnsi="Times New Roman"/>
          <w:sz w:val="28"/>
          <w:szCs w:val="28"/>
          <w:lang w:val="uk-UA"/>
        </w:rPr>
        <w:lastRenderedPageBreak/>
        <w:t xml:space="preserve">середній бал за шкалою С.Р. McGraw становив 4,33 проти 5,13; 7,07 та 4,13 (р&lt;0,05). </w:t>
      </w:r>
    </w:p>
    <w:p w:rsidR="0036311A" w:rsidRPr="00012F54" w:rsidRDefault="0036311A" w:rsidP="0036311A">
      <w:pPr>
        <w:widowControl w:val="0"/>
        <w:spacing w:after="0" w:line="360" w:lineRule="auto"/>
        <w:ind w:firstLine="284"/>
        <w:jc w:val="both"/>
        <w:rPr>
          <w:rFonts w:ascii="Times New Roman" w:hAnsi="Times New Roman"/>
          <w:sz w:val="28"/>
          <w:szCs w:val="28"/>
          <w:lang w:val="uk-UA"/>
        </w:rPr>
      </w:pPr>
      <w:r w:rsidRPr="00012F54">
        <w:rPr>
          <w:rFonts w:ascii="Times New Roman" w:hAnsi="Times New Roman"/>
          <w:sz w:val="28"/>
          <w:szCs w:val="28"/>
          <w:lang w:val="uk-UA"/>
        </w:rPr>
        <w:t xml:space="preserve">Отже, у зазначений період за деескалацією балів, адемол вірогідно перевершував ефективність амантадину і магнію сульфату в середньому у 1,18 та 1,63 рази, а варіаційний ряд виглядає наступним чином: псевдооперовані щури &gt;адемол = німодипін&gt;амантадину сульфат &gt; магнію сульфат. </w:t>
      </w:r>
    </w:p>
    <w:p w:rsidR="00012F54" w:rsidRPr="00012F54" w:rsidRDefault="00012F54" w:rsidP="00E93435">
      <w:pPr>
        <w:widowControl w:val="0"/>
        <w:spacing w:after="0" w:line="360" w:lineRule="auto"/>
        <w:ind w:firstLine="284"/>
        <w:jc w:val="both"/>
        <w:rPr>
          <w:rFonts w:ascii="Times New Roman" w:hAnsi="Times New Roman"/>
          <w:b/>
          <w:bCs/>
          <w:color w:val="000000"/>
          <w:sz w:val="28"/>
          <w:szCs w:val="28"/>
          <w:lang w:val="uk-UA"/>
        </w:rPr>
      </w:pPr>
      <w:r w:rsidRPr="00012F54">
        <w:rPr>
          <w:rFonts w:ascii="Times New Roman" w:hAnsi="Times New Roman"/>
          <w:sz w:val="28"/>
          <w:szCs w:val="28"/>
          <w:lang w:val="uk-UA"/>
        </w:rPr>
        <w:t xml:space="preserve">У відновлювальному періоді модельного ВМК (21-ша доба), як і на 4-ту добу, препаратами лідерами виявились адемол та німодипін, котрі продемонстрували однакову спроможність знижувати неврологічну симптоматику – середній бал за шкалою С.Р. McGraw становив відповідно 2,73 та 2,87 проти 4,80 у групі контролю та 3,66 і 4,13 на тлі введення амантадину та магнію сульфату (табл. 3.8). </w:t>
      </w:r>
      <w:r w:rsidRPr="00012F54">
        <w:rPr>
          <w:rFonts w:ascii="Times New Roman" w:hAnsi="Times New Roman"/>
          <w:szCs w:val="28"/>
          <w:lang w:val="uk-UA"/>
        </w:rPr>
        <w:br w:type="page"/>
      </w:r>
    </w:p>
    <w:p w:rsidR="00012F54" w:rsidRPr="005879AB" w:rsidRDefault="00012F54" w:rsidP="00B065B6">
      <w:pPr>
        <w:pStyle w:val="2"/>
        <w:tabs>
          <w:tab w:val="left" w:pos="851"/>
          <w:tab w:val="left" w:pos="1134"/>
        </w:tabs>
        <w:ind w:firstLine="284"/>
        <w:jc w:val="both"/>
        <w:rPr>
          <w:rFonts w:ascii="Times New Roman" w:hAnsi="Times New Roman" w:cs="Times New Roman"/>
          <w:bCs/>
          <w:color w:val="auto"/>
          <w:sz w:val="28"/>
          <w:szCs w:val="28"/>
          <w:lang w:val="uk-UA"/>
        </w:rPr>
      </w:pPr>
      <w:r w:rsidRPr="005879AB">
        <w:rPr>
          <w:rFonts w:ascii="Times New Roman" w:hAnsi="Times New Roman" w:cs="Times New Roman"/>
          <w:bCs/>
          <w:color w:val="auto"/>
          <w:sz w:val="28"/>
          <w:szCs w:val="28"/>
          <w:lang w:val="uk-UA"/>
        </w:rPr>
        <w:lastRenderedPageBreak/>
        <w:t>Висновки до розділу 3</w:t>
      </w:r>
    </w:p>
    <w:p w:rsidR="00F957B1" w:rsidRPr="00862A87" w:rsidRDefault="00F957B1" w:rsidP="00F957B1">
      <w:pPr>
        <w:rPr>
          <w:b/>
          <w:lang w:val="uk-UA"/>
        </w:rPr>
      </w:pPr>
    </w:p>
    <w:p w:rsidR="00F957B1" w:rsidRPr="00862A87" w:rsidRDefault="00F957B1" w:rsidP="00F957B1">
      <w:pPr>
        <w:pStyle w:val="a5"/>
        <w:widowControl w:val="0"/>
        <w:numPr>
          <w:ilvl w:val="0"/>
          <w:numId w:val="11"/>
        </w:numPr>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Апробовано модель для первинного скринінгу перспективних нейропротекторів, що за сукупністю критеріїв (летальність (виживаність), неврологічний дефіцит, нейромаркерна активність, параметри ВЧТ), дає змогу в критичний період інсульту (48 год) залежно від об’єму крові введеній у підпавутинний простір головного мозку щурів класифікувати САК на три ступеня важкості: тяжкий ступінь (0,1 мл/кг аутокрові) – смертність 70 %, активність NSE 4,889±0,139 нг/мл, неврологічний дефіцит за шкалою С.Р. McGraw 11,93±0,33 бали, ВЧТ 16,429±0,571 у.о; середній ступінь (0,07 мл/кг аутокрові) – смертність 30 %, активність NSE 3,313±0,092 нг/мл, неврологічний дефіцит 6,53±0,33 бали, ВЧТ 10,571±0,429 у.о.; легкий ступінь (0,05 мл/кг аутокрові) – смертність 20 %, активність NSE 2,259±0,084 нг/мл, неврологічний дефіцит 5,07±0,28 бали, ВЧТ 7,571±0,369 у.о.</w:t>
      </w:r>
    </w:p>
    <w:p w:rsidR="00F957B1" w:rsidRPr="00862A87" w:rsidRDefault="00F957B1" w:rsidP="00F957B1">
      <w:pPr>
        <w:pStyle w:val="a5"/>
        <w:widowControl w:val="0"/>
        <w:numPr>
          <w:ilvl w:val="0"/>
          <w:numId w:val="11"/>
        </w:numPr>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При експериментальному САК тяжкого ступеня важкості застосування 1,0 % розчину 1-адамантилетилокси-3-морфоліно-2-пропанолу гідрохлориду (адемол) у дозах 1, 2 та 5 мг/кг сприяло зменшенню у критичний період інсульту показника летальності щурів відносно групи контрольної патології в середньому на 30, 60 та 30 %, що ідентифікує умовно-ефективну терапевтичну дозу на рівні 2 мг/кг довенно, у якій препарат за своєю ефективністю (підвищення виживаності) вірогідно переважав німодипін і розчини амантадину та магнію сульфату в середньому на 30, 30 та 60 %, що вказує на перспективність і доцільність подальшої доклінічної оцінки його ц</w:t>
      </w:r>
      <w:r>
        <w:rPr>
          <w:rFonts w:ascii="Times New Roman" w:hAnsi="Times New Roman"/>
          <w:sz w:val="28"/>
          <w:szCs w:val="28"/>
          <w:lang w:val="uk-UA"/>
        </w:rPr>
        <w:t>еребропротекторних властивостей.</w:t>
      </w:r>
    </w:p>
    <w:p w:rsidR="00F957B1" w:rsidRPr="00012F54" w:rsidRDefault="00F957B1" w:rsidP="00F957B1">
      <w:pPr>
        <w:pStyle w:val="a5"/>
        <w:widowControl w:val="0"/>
        <w:numPr>
          <w:ilvl w:val="0"/>
          <w:numId w:val="11"/>
        </w:numPr>
        <w:spacing w:after="0" w:line="360" w:lineRule="auto"/>
        <w:ind w:left="0" w:firstLine="284"/>
        <w:jc w:val="both"/>
        <w:rPr>
          <w:rFonts w:ascii="Times New Roman" w:hAnsi="Times New Roman"/>
          <w:sz w:val="28"/>
          <w:szCs w:val="28"/>
          <w:lang w:val="uk-UA"/>
        </w:rPr>
      </w:pPr>
      <w:r w:rsidRPr="00012F54">
        <w:rPr>
          <w:rFonts w:ascii="Times New Roman" w:hAnsi="Times New Roman"/>
          <w:sz w:val="28"/>
          <w:szCs w:val="28"/>
          <w:lang w:val="uk-UA"/>
        </w:rPr>
        <w:t xml:space="preserve">На тлі терапії адемолом дозою 2 мг/кг довенно у критичний період САК тяжкого ступеня важкості при виживаності щурів рівній 90 % неврологічний дефіцит за шкалою С.Р. McGraw був у 2,1 рази меншим ніж у групі контрольної патології, демонструючи за сумою балів вірогідну перевагу досліджуваного похідного адамантану над німодипіном та амантадином сульфатом у середньому відповідно в 1,22 та 1,35 рази (р&lt;0,05). У відновний період </w:t>
      </w:r>
      <w:bookmarkStart w:id="33" w:name="_Hlk51939357"/>
      <w:r w:rsidRPr="00012F54">
        <w:rPr>
          <w:rFonts w:ascii="Times New Roman" w:hAnsi="Times New Roman"/>
          <w:sz w:val="28"/>
          <w:szCs w:val="28"/>
          <w:lang w:val="uk-UA"/>
        </w:rPr>
        <w:t xml:space="preserve">ВМК </w:t>
      </w:r>
      <w:bookmarkEnd w:id="33"/>
      <w:r w:rsidRPr="00012F54">
        <w:rPr>
          <w:rFonts w:ascii="Times New Roman" w:hAnsi="Times New Roman"/>
          <w:sz w:val="28"/>
          <w:szCs w:val="28"/>
          <w:lang w:val="uk-UA"/>
        </w:rPr>
        <w:t xml:space="preserve">середнього ступеня важкості (21-ша доба) за ступенем деескалації неврологічної симптоматики адемол </w:t>
      </w:r>
      <w:r w:rsidRPr="00012F54">
        <w:rPr>
          <w:rFonts w:ascii="Times New Roman" w:hAnsi="Times New Roman"/>
          <w:sz w:val="28"/>
          <w:szCs w:val="28"/>
          <w:lang w:val="uk-UA"/>
        </w:rPr>
        <w:lastRenderedPageBreak/>
        <w:t xml:space="preserve">вірогідно переважав ефективність розчинів амантадину та магнію сульфату в середньому у 1,34 та 1,51 рази відповідно, виявляючи при цьому мнемотропну активність достеменно кращу за усі референс-препарати, покращуючи показники у тесті умовної реакції пасивного уникання. </w:t>
      </w:r>
    </w:p>
    <w:p w:rsidR="00012F54" w:rsidRPr="00360067" w:rsidRDefault="00012F54" w:rsidP="00F957B1">
      <w:pPr>
        <w:pStyle w:val="a5"/>
        <w:widowControl w:val="0"/>
        <w:tabs>
          <w:tab w:val="left" w:pos="426"/>
          <w:tab w:val="left" w:pos="567"/>
        </w:tabs>
        <w:spacing w:after="0" w:line="360" w:lineRule="auto"/>
        <w:ind w:left="284"/>
        <w:jc w:val="both"/>
        <w:rPr>
          <w:rFonts w:ascii="Times New Roman" w:hAnsi="Times New Roman"/>
          <w:lang w:val="uk-UA"/>
        </w:rPr>
      </w:pPr>
      <w:r w:rsidRPr="00360067">
        <w:rPr>
          <w:rFonts w:ascii="Times New Roman" w:hAnsi="Times New Roman"/>
          <w:lang w:val="uk-UA"/>
        </w:rPr>
        <w:br w:type="page"/>
      </w:r>
    </w:p>
    <w:p w:rsidR="00012F54" w:rsidRPr="001F0A71" w:rsidRDefault="00012F54" w:rsidP="001F0A71">
      <w:pPr>
        <w:pStyle w:val="1"/>
        <w:spacing w:line="360" w:lineRule="auto"/>
        <w:ind w:firstLine="284"/>
        <w:jc w:val="center"/>
        <w:rPr>
          <w:sz w:val="28"/>
          <w:szCs w:val="28"/>
          <w:lang w:val="uk-UA"/>
        </w:rPr>
      </w:pPr>
      <w:r w:rsidRPr="001F0A71">
        <w:rPr>
          <w:sz w:val="28"/>
          <w:szCs w:val="28"/>
          <w:lang w:val="uk-UA"/>
        </w:rPr>
        <w:lastRenderedPageBreak/>
        <w:t>РОЗДІЛ 4</w:t>
      </w:r>
    </w:p>
    <w:p w:rsidR="00012F54" w:rsidRPr="001F0A71" w:rsidRDefault="00012F54" w:rsidP="001F0A71">
      <w:pPr>
        <w:pStyle w:val="-1"/>
        <w:widowControl w:val="0"/>
        <w:spacing w:line="360" w:lineRule="auto"/>
        <w:ind w:firstLine="284"/>
        <w:jc w:val="center"/>
        <w:rPr>
          <w:b/>
          <w:bCs/>
          <w:sz w:val="28"/>
          <w:szCs w:val="28"/>
          <w:lang w:val="uk-UA"/>
        </w:rPr>
      </w:pPr>
      <w:r w:rsidRPr="001F0A71">
        <w:rPr>
          <w:b/>
          <w:bCs/>
          <w:sz w:val="28"/>
          <w:szCs w:val="28"/>
          <w:lang w:val="uk-UA"/>
        </w:rPr>
        <w:t>ОЦІНКА ЦЕРЕБРОПРОТЕКТОРНОЇ АКТИВНОСТІ АДЕМОЛУ</w:t>
      </w:r>
    </w:p>
    <w:p w:rsidR="00012F54" w:rsidRPr="001F0A71" w:rsidRDefault="00012F54" w:rsidP="001F0A71">
      <w:pPr>
        <w:pStyle w:val="-1"/>
        <w:widowControl w:val="0"/>
        <w:spacing w:line="360" w:lineRule="auto"/>
        <w:ind w:firstLine="284"/>
        <w:jc w:val="center"/>
        <w:rPr>
          <w:b/>
          <w:bCs/>
          <w:sz w:val="28"/>
          <w:szCs w:val="28"/>
          <w:lang w:val="uk-UA"/>
        </w:rPr>
      </w:pPr>
      <w:r w:rsidRPr="001F0A71">
        <w:rPr>
          <w:b/>
          <w:bCs/>
          <w:sz w:val="28"/>
          <w:szCs w:val="28"/>
          <w:lang w:val="uk-UA"/>
        </w:rPr>
        <w:t>ЗА ПОКАЗНИКАМИ ЕЛЕКРОФІЗІОЛОГІЧНИХ</w:t>
      </w:r>
    </w:p>
    <w:p w:rsidR="00012F54" w:rsidRPr="001F0A71" w:rsidRDefault="00012F54" w:rsidP="001F0A71">
      <w:pPr>
        <w:pStyle w:val="-1"/>
        <w:widowControl w:val="0"/>
        <w:spacing w:line="360" w:lineRule="auto"/>
        <w:ind w:firstLine="284"/>
        <w:jc w:val="center"/>
        <w:rPr>
          <w:b/>
          <w:bCs/>
          <w:sz w:val="28"/>
          <w:szCs w:val="28"/>
          <w:lang w:val="uk-UA"/>
        </w:rPr>
      </w:pPr>
      <w:r w:rsidRPr="001F0A71">
        <w:rPr>
          <w:b/>
          <w:bCs/>
          <w:sz w:val="28"/>
          <w:szCs w:val="28"/>
          <w:lang w:val="uk-UA"/>
        </w:rPr>
        <w:t>ТА ФУНКЦІОНАЛЬНИХ ЗМІН</w:t>
      </w:r>
    </w:p>
    <w:p w:rsidR="00012F54" w:rsidRPr="001F0A71" w:rsidRDefault="00012F54" w:rsidP="00B065B6">
      <w:pPr>
        <w:pStyle w:val="-1"/>
        <w:widowControl w:val="0"/>
        <w:spacing w:line="360" w:lineRule="auto"/>
        <w:ind w:firstLine="284"/>
        <w:rPr>
          <w:sz w:val="28"/>
          <w:szCs w:val="28"/>
          <w:lang w:val="uk-UA"/>
        </w:rPr>
      </w:pPr>
    </w:p>
    <w:p w:rsidR="00012F54" w:rsidRPr="005879AB" w:rsidRDefault="00012F54" w:rsidP="00B065B6">
      <w:pPr>
        <w:pStyle w:val="2"/>
        <w:spacing w:line="360" w:lineRule="auto"/>
        <w:ind w:firstLine="284"/>
        <w:jc w:val="both"/>
        <w:rPr>
          <w:rFonts w:ascii="Times New Roman" w:hAnsi="Times New Roman" w:cs="Times New Roman"/>
          <w:color w:val="auto"/>
          <w:sz w:val="28"/>
          <w:szCs w:val="28"/>
          <w:lang w:val="uk-UA"/>
        </w:rPr>
      </w:pPr>
      <w:r w:rsidRPr="005879AB">
        <w:rPr>
          <w:rFonts w:ascii="Times New Roman" w:hAnsi="Times New Roman" w:cs="Times New Roman"/>
          <w:color w:val="auto"/>
          <w:sz w:val="28"/>
          <w:szCs w:val="28"/>
          <w:lang w:val="uk-UA"/>
        </w:rPr>
        <w:t xml:space="preserve">4.1. Динаміка змін параметру об’ємної швидкості мозкового кровотоку в </w:t>
      </w:r>
      <w:bookmarkStart w:id="34" w:name="_Hlk51942136"/>
      <w:r w:rsidRPr="005879AB">
        <w:rPr>
          <w:rFonts w:ascii="Times New Roman" w:hAnsi="Times New Roman" w:cs="Times New Roman"/>
          <w:color w:val="auto"/>
          <w:sz w:val="28"/>
          <w:szCs w:val="28"/>
          <w:lang w:val="uk-UA"/>
        </w:rPr>
        <w:t xml:space="preserve">центральній мозковій артерії </w:t>
      </w:r>
      <w:bookmarkEnd w:id="34"/>
      <w:r w:rsidRPr="005879AB">
        <w:rPr>
          <w:rFonts w:ascii="Times New Roman" w:hAnsi="Times New Roman" w:cs="Times New Roman"/>
          <w:color w:val="auto"/>
          <w:sz w:val="28"/>
          <w:szCs w:val="28"/>
          <w:lang w:val="uk-UA"/>
        </w:rPr>
        <w:t>у щурів із субарахноїдальним крововиливом на тлі інфузії розчинів адемолу або німодипіну</w:t>
      </w:r>
    </w:p>
    <w:p w:rsidR="00012F54" w:rsidRPr="009C3AA9" w:rsidRDefault="00012F54" w:rsidP="00B065B6">
      <w:pPr>
        <w:widowControl w:val="0"/>
        <w:shd w:val="clear" w:color="auto" w:fill="FFFFFF"/>
        <w:spacing w:after="0" w:line="360" w:lineRule="auto"/>
        <w:ind w:firstLine="284"/>
        <w:jc w:val="both"/>
        <w:rPr>
          <w:rFonts w:ascii="Times New Roman" w:hAnsi="Times New Roman"/>
          <w:sz w:val="28"/>
          <w:szCs w:val="28"/>
          <w:lang w:val="uk-UA"/>
        </w:rPr>
      </w:pPr>
      <w:r w:rsidRPr="001F0A71">
        <w:rPr>
          <w:rFonts w:ascii="Times New Roman" w:hAnsi="Times New Roman"/>
          <w:sz w:val="28"/>
          <w:szCs w:val="28"/>
          <w:lang w:val="uk-UA"/>
        </w:rPr>
        <w:t xml:space="preserve">Метою даної експериментальної серії було з’ясувати </w:t>
      </w:r>
      <w:r w:rsidRPr="009C3AA9">
        <w:rPr>
          <w:rFonts w:ascii="Times New Roman" w:hAnsi="Times New Roman"/>
          <w:sz w:val="28"/>
          <w:szCs w:val="28"/>
          <w:lang w:val="uk-UA"/>
        </w:rPr>
        <w:t xml:space="preserve">наявність та провести порівняльну оцінку величини стимулювального впливу у промислового зразка 1,0 % розчину 1-адамантилетилокси-3-морфоліно-2-пропанолу гідрохлориду (адемолу) та німодипіну на кровоплин в </w:t>
      </w:r>
      <w:r>
        <w:rPr>
          <w:rFonts w:ascii="Times New Roman" w:hAnsi="Times New Roman"/>
          <w:sz w:val="28"/>
          <w:szCs w:val="28"/>
          <w:lang w:val="uk-UA"/>
        </w:rPr>
        <w:t>СМА</w:t>
      </w:r>
      <w:r w:rsidRPr="009C3AA9">
        <w:rPr>
          <w:rFonts w:ascii="Times New Roman" w:hAnsi="Times New Roman"/>
          <w:sz w:val="28"/>
          <w:szCs w:val="28"/>
          <w:lang w:val="uk-UA"/>
        </w:rPr>
        <w:t xml:space="preserve"> щурів при САК. </w:t>
      </w:r>
    </w:p>
    <w:p w:rsidR="00012F54" w:rsidRPr="009C3AA9" w:rsidRDefault="00012F54" w:rsidP="00B065B6">
      <w:pPr>
        <w:widowControl w:val="0"/>
        <w:shd w:val="clear" w:color="auto" w:fill="FFFFFF"/>
        <w:spacing w:after="0" w:line="360" w:lineRule="auto"/>
        <w:ind w:firstLine="284"/>
        <w:jc w:val="both"/>
        <w:rPr>
          <w:rFonts w:ascii="Times New Roman" w:hAnsi="Times New Roman"/>
          <w:sz w:val="28"/>
          <w:szCs w:val="28"/>
          <w:lang w:val="uk-UA"/>
        </w:rPr>
      </w:pPr>
      <w:r w:rsidRPr="009C3AA9">
        <w:rPr>
          <w:rFonts w:ascii="Times New Roman" w:hAnsi="Times New Roman"/>
          <w:sz w:val="28"/>
          <w:szCs w:val="28"/>
          <w:lang w:val="uk-UA"/>
        </w:rPr>
        <w:t>Як і при оцінці неврологічного дефіциту, до кожної групи увійшло по 7 тварин, котрі вижили станом на даний часовий проміжок. За умов, коли тварин за результатом первинного скринінгу при оцінці летальності у попередній серії дослідів не вистачало до необхідної кількості (наприклад, група контролю), додатково залучали щурів, яким окремо аналогічно моделювали САК.</w:t>
      </w:r>
    </w:p>
    <w:p w:rsidR="00012F54" w:rsidRDefault="00012F54" w:rsidP="00B065B6">
      <w:pPr>
        <w:widowControl w:val="0"/>
        <w:spacing w:after="0" w:line="360" w:lineRule="auto"/>
        <w:ind w:firstLine="284"/>
        <w:jc w:val="both"/>
        <w:rPr>
          <w:rFonts w:ascii="Times New Roman" w:hAnsi="Times New Roman"/>
          <w:sz w:val="28"/>
          <w:szCs w:val="28"/>
          <w:lang w:val="uk-UA"/>
        </w:rPr>
      </w:pPr>
      <w:r w:rsidRPr="009C3AA9">
        <w:rPr>
          <w:rFonts w:ascii="Times New Roman" w:hAnsi="Times New Roman"/>
          <w:sz w:val="28"/>
          <w:szCs w:val="28"/>
          <w:lang w:val="uk-UA"/>
        </w:rPr>
        <w:t xml:space="preserve">Результати, отримані в ході моніторингу ОШМК в умовах геморагічного інсульту, вказують на те, що вже через годину після введення аутокрові у </w:t>
      </w:r>
      <w:r>
        <w:rPr>
          <w:rFonts w:ascii="Times New Roman" w:hAnsi="Times New Roman"/>
          <w:sz w:val="28"/>
          <w:szCs w:val="28"/>
          <w:lang w:val="uk-UA"/>
        </w:rPr>
        <w:t>САП</w:t>
      </w:r>
      <w:r w:rsidRPr="009C3AA9">
        <w:rPr>
          <w:rFonts w:ascii="Times New Roman" w:hAnsi="Times New Roman"/>
          <w:sz w:val="28"/>
          <w:szCs w:val="28"/>
          <w:lang w:val="uk-UA"/>
        </w:rPr>
        <w:t xml:space="preserve">, рівень кровоплину по </w:t>
      </w:r>
      <w:r>
        <w:rPr>
          <w:rFonts w:ascii="Times New Roman" w:hAnsi="Times New Roman"/>
          <w:sz w:val="28"/>
          <w:szCs w:val="28"/>
          <w:lang w:val="uk-UA"/>
        </w:rPr>
        <w:t>СМА</w:t>
      </w:r>
      <w:r w:rsidRPr="009C3AA9">
        <w:rPr>
          <w:rFonts w:ascii="Times New Roman" w:hAnsi="Times New Roman"/>
          <w:sz w:val="28"/>
          <w:szCs w:val="28"/>
          <w:lang w:val="uk-UA"/>
        </w:rPr>
        <w:t xml:space="preserve"> у всіх групах тварин знизився відносно початкового в середньому на 43</w:t>
      </w:r>
      <w:r w:rsidRPr="00DC3EE7">
        <w:rPr>
          <w:rFonts w:ascii="Times New Roman" w:hAnsi="Times New Roman"/>
          <w:bCs/>
          <w:sz w:val="28"/>
          <w:szCs w:val="28"/>
          <w:lang w:val="uk-UA"/>
        </w:rPr>
        <w:t>–</w:t>
      </w:r>
      <w:r w:rsidRPr="009C3AA9">
        <w:rPr>
          <w:rFonts w:ascii="Times New Roman" w:hAnsi="Times New Roman"/>
          <w:sz w:val="28"/>
          <w:szCs w:val="28"/>
          <w:lang w:val="uk-UA"/>
        </w:rPr>
        <w:t xml:space="preserve">47 % (табл. 4.1). Це, по-перше, свідчить про адекватність обраної моделі інсульту, а по-друге – про інтенсивне формування зони із зниженою перфузією. Починаючи з другої доби геморагії, зниження мозкової перфузії відбувається не тільки за рахунок зовнішньої компресії судин гематомою та набряклою нервовою тканиною, а й завдяки дії вазоконстрикторних чинників. Ця теза знайшла підтвердження і в наших дослідженнях. </w:t>
      </w:r>
    </w:p>
    <w:p w:rsidR="00012F54" w:rsidRDefault="00012F54" w:rsidP="00B065B6">
      <w:pPr>
        <w:widowControl w:val="0"/>
        <w:spacing w:after="0" w:line="360" w:lineRule="auto"/>
        <w:ind w:firstLine="284"/>
        <w:jc w:val="both"/>
        <w:rPr>
          <w:rFonts w:ascii="Times New Roman" w:hAnsi="Times New Roman"/>
          <w:sz w:val="28"/>
          <w:szCs w:val="28"/>
          <w:lang w:val="uk-UA"/>
        </w:rPr>
        <w:sectPr w:rsidR="00012F54" w:rsidSect="00763508">
          <w:footerReference w:type="default" r:id="rId29"/>
          <w:pgSz w:w="11906" w:h="16838"/>
          <w:pgMar w:top="1134" w:right="567" w:bottom="1134" w:left="1134" w:header="708" w:footer="708" w:gutter="0"/>
          <w:pgNumType w:start="73"/>
          <w:cols w:space="708"/>
          <w:docGrid w:linePitch="360"/>
        </w:sectPr>
      </w:pPr>
      <w:r w:rsidRPr="009C3AA9">
        <w:rPr>
          <w:rFonts w:ascii="Times New Roman" w:hAnsi="Times New Roman"/>
          <w:sz w:val="28"/>
          <w:szCs w:val="28"/>
          <w:lang w:val="uk-UA"/>
        </w:rPr>
        <w:t>У вказаний період САК, церебральна гемодинаміка продовжувала погіршуватись, однак такого різкого «обвалу перфузії», яке мало місце в перші 24 год, не відмічалось.</w:t>
      </w:r>
    </w:p>
    <w:p w:rsidR="00012F54" w:rsidRDefault="00012F54" w:rsidP="00012F54">
      <w:pPr>
        <w:widowControl w:val="0"/>
        <w:shd w:val="clear" w:color="auto" w:fill="FFFFFF"/>
        <w:spacing w:after="0" w:line="360" w:lineRule="auto"/>
        <w:ind w:firstLine="284"/>
        <w:jc w:val="right"/>
        <w:rPr>
          <w:rFonts w:ascii="Times New Roman" w:hAnsi="Times New Roman"/>
          <w:sz w:val="28"/>
          <w:szCs w:val="28"/>
          <w:lang w:val="uk-UA"/>
        </w:rPr>
      </w:pPr>
    </w:p>
    <w:p w:rsidR="00012F54" w:rsidRPr="009C3AA9" w:rsidRDefault="00012F54" w:rsidP="00012F54">
      <w:pPr>
        <w:widowControl w:val="0"/>
        <w:shd w:val="clear" w:color="auto" w:fill="FFFFFF"/>
        <w:spacing w:after="0" w:line="360" w:lineRule="auto"/>
        <w:ind w:firstLine="284"/>
        <w:jc w:val="right"/>
        <w:rPr>
          <w:rFonts w:ascii="Times New Roman" w:hAnsi="Times New Roman"/>
          <w:sz w:val="28"/>
          <w:szCs w:val="28"/>
          <w:lang w:val="uk-UA"/>
        </w:rPr>
      </w:pPr>
      <w:r w:rsidRPr="009C3AA9">
        <w:rPr>
          <w:rFonts w:ascii="Times New Roman" w:hAnsi="Times New Roman"/>
          <w:sz w:val="28"/>
          <w:szCs w:val="28"/>
          <w:lang w:val="uk-UA"/>
        </w:rPr>
        <w:t>Таблиця 4.1</w:t>
      </w:r>
    </w:p>
    <w:p w:rsidR="00012F54" w:rsidRPr="00047AD6" w:rsidRDefault="00012F54" w:rsidP="00012F54">
      <w:pPr>
        <w:widowControl w:val="0"/>
        <w:shd w:val="clear" w:color="auto" w:fill="FFFFFF"/>
        <w:spacing w:after="0" w:line="360" w:lineRule="auto"/>
        <w:ind w:firstLine="284"/>
        <w:jc w:val="center"/>
        <w:rPr>
          <w:rFonts w:ascii="Times New Roman" w:hAnsi="Times New Roman"/>
          <w:sz w:val="28"/>
          <w:szCs w:val="28"/>
          <w:lang w:val="uk-UA"/>
        </w:rPr>
      </w:pPr>
      <w:r w:rsidRPr="009C3AA9">
        <w:rPr>
          <w:rFonts w:ascii="Times New Roman" w:hAnsi="Times New Roman"/>
          <w:sz w:val="28"/>
          <w:szCs w:val="28"/>
          <w:lang w:val="uk-UA"/>
        </w:rPr>
        <w:t>Динаміка об’ємної швидкості мозкового кровоплинув середній мозковій артеріїу щурів ізсубарахноїдальним крововиливом за даними лазерної доплерографії на тлі окремої інфузіїадемолу та німодипіну</w:t>
      </w:r>
      <w:r>
        <w:rPr>
          <w:rFonts w:ascii="Times New Roman" w:hAnsi="Times New Roman"/>
          <w:sz w:val="28"/>
          <w:szCs w:val="28"/>
          <w:lang w:val="uk-UA"/>
        </w:rPr>
        <w:t xml:space="preserve">, </w:t>
      </w:r>
      <w:r w:rsidRPr="009C3AA9">
        <w:rPr>
          <w:rFonts w:ascii="Times New Roman" w:hAnsi="Times New Roman"/>
          <w:sz w:val="28"/>
          <w:szCs w:val="28"/>
          <w:lang w:val="uk-UA"/>
        </w:rPr>
        <w:t>М±m</w:t>
      </w:r>
      <w:r>
        <w:rPr>
          <w:rFonts w:ascii="Times New Roman" w:hAnsi="Times New Roman"/>
          <w:sz w:val="28"/>
          <w:szCs w:val="28"/>
          <w:lang w:val="uk-UA"/>
        </w:rPr>
        <w:t xml:space="preserve"> (</w:t>
      </w:r>
      <w:r w:rsidRPr="00047AD6">
        <w:rPr>
          <w:rFonts w:ascii="Times New Roman" w:hAnsi="Times New Roman"/>
          <w:sz w:val="28"/>
          <w:szCs w:val="28"/>
          <w:lang w:val="uk-UA"/>
        </w:rPr>
        <w:t>n=7)</w:t>
      </w:r>
    </w:p>
    <w:p w:rsidR="00012F54" w:rsidRPr="009C1175" w:rsidRDefault="00012F54" w:rsidP="00012F54">
      <w:pPr>
        <w:widowControl w:val="0"/>
        <w:shd w:val="clear" w:color="auto" w:fill="FFFFFF"/>
        <w:spacing w:after="0" w:line="240" w:lineRule="auto"/>
        <w:ind w:firstLine="284"/>
        <w:jc w:val="center"/>
        <w:rPr>
          <w:rFonts w:ascii="Times New Roman" w:hAnsi="Times New Roman"/>
          <w:i/>
          <w:sz w:val="16"/>
          <w:szCs w:val="16"/>
          <w:lang w:val="uk-UA"/>
        </w:rPr>
      </w:pP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7"/>
        <w:gridCol w:w="1843"/>
        <w:gridCol w:w="1349"/>
        <w:gridCol w:w="10"/>
        <w:gridCol w:w="1759"/>
        <w:gridCol w:w="1488"/>
        <w:gridCol w:w="13"/>
        <w:gridCol w:w="2043"/>
        <w:gridCol w:w="1417"/>
      </w:tblGrid>
      <w:tr w:rsidR="00012F54" w:rsidRPr="009C3AA9" w:rsidTr="00012F54">
        <w:trPr>
          <w:jc w:val="center"/>
        </w:trPr>
        <w:tc>
          <w:tcPr>
            <w:tcW w:w="2547" w:type="dxa"/>
            <w:vMerge w:val="restart"/>
            <w:vAlign w:val="center"/>
          </w:tcPr>
          <w:p w:rsidR="00012F54" w:rsidRPr="009C3AA9" w:rsidRDefault="00012F54" w:rsidP="009C1175">
            <w:pPr>
              <w:widowControl w:val="0"/>
              <w:spacing w:before="60" w:after="60" w:line="240" w:lineRule="auto"/>
              <w:jc w:val="center"/>
              <w:rPr>
                <w:rFonts w:ascii="Times New Roman" w:hAnsi="Times New Roman"/>
                <w:b/>
                <w:sz w:val="28"/>
                <w:szCs w:val="28"/>
                <w:lang w:val="uk-UA" w:eastAsia="uk-UA"/>
              </w:rPr>
            </w:pPr>
            <w:r w:rsidRPr="009C3AA9">
              <w:rPr>
                <w:rFonts w:ascii="Times New Roman" w:hAnsi="Times New Roman"/>
                <w:sz w:val="28"/>
                <w:szCs w:val="28"/>
                <w:lang w:val="uk-UA"/>
              </w:rPr>
              <w:t>Термін  спостереження, год</w:t>
            </w:r>
          </w:p>
        </w:tc>
        <w:tc>
          <w:tcPr>
            <w:tcW w:w="3202" w:type="dxa"/>
            <w:gridSpan w:val="3"/>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Контрольна патологія</w:t>
            </w:r>
          </w:p>
        </w:tc>
        <w:tc>
          <w:tcPr>
            <w:tcW w:w="3260" w:type="dxa"/>
            <w:gridSpan w:val="3"/>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Pr>
                <w:rFonts w:ascii="Times New Roman" w:hAnsi="Times New Roman"/>
                <w:sz w:val="28"/>
                <w:szCs w:val="28"/>
                <w:lang w:val="uk-UA" w:eastAsia="uk-UA"/>
              </w:rPr>
              <w:t>Н</w:t>
            </w:r>
            <w:r w:rsidRPr="009C3AA9">
              <w:rPr>
                <w:rFonts w:ascii="Times New Roman" w:hAnsi="Times New Roman"/>
                <w:sz w:val="28"/>
                <w:szCs w:val="28"/>
                <w:lang w:val="uk-UA" w:eastAsia="uk-UA"/>
              </w:rPr>
              <w:t>імодипін (30 мкг/кг)</w:t>
            </w:r>
          </w:p>
        </w:tc>
        <w:tc>
          <w:tcPr>
            <w:tcW w:w="3460"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Pr>
                <w:rFonts w:ascii="Times New Roman" w:hAnsi="Times New Roman"/>
                <w:sz w:val="28"/>
                <w:szCs w:val="28"/>
                <w:lang w:val="uk-UA" w:eastAsia="uk-UA"/>
              </w:rPr>
              <w:t>А</w:t>
            </w:r>
            <w:r w:rsidRPr="009C3AA9">
              <w:rPr>
                <w:rFonts w:ascii="Times New Roman" w:hAnsi="Times New Roman"/>
                <w:sz w:val="28"/>
                <w:szCs w:val="28"/>
                <w:lang w:val="uk-UA" w:eastAsia="uk-UA"/>
              </w:rPr>
              <w:t>демол (2 мг/кг)</w:t>
            </w:r>
          </w:p>
        </w:tc>
      </w:tr>
      <w:tr w:rsidR="00012F54" w:rsidRPr="009C3AA9" w:rsidTr="00012F54">
        <w:trPr>
          <w:trHeight w:val="771"/>
          <w:jc w:val="center"/>
        </w:trPr>
        <w:tc>
          <w:tcPr>
            <w:tcW w:w="2547" w:type="dxa"/>
            <w:vMerge/>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p>
        </w:tc>
        <w:tc>
          <w:tcPr>
            <w:tcW w:w="1843"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мл/хв</w:t>
            </w:r>
          </w:p>
        </w:tc>
        <w:tc>
          <w:tcPr>
            <w:tcW w:w="1349"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зміни, %</w:t>
            </w:r>
          </w:p>
        </w:tc>
        <w:tc>
          <w:tcPr>
            <w:tcW w:w="1769"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мл/хв</w:t>
            </w:r>
          </w:p>
        </w:tc>
        <w:tc>
          <w:tcPr>
            <w:tcW w:w="1488"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зміни, %</w:t>
            </w:r>
          </w:p>
        </w:tc>
        <w:tc>
          <w:tcPr>
            <w:tcW w:w="2056"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мл/хв</w:t>
            </w:r>
          </w:p>
        </w:tc>
        <w:tc>
          <w:tcPr>
            <w:tcW w:w="1417"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зміни, %</w:t>
            </w:r>
          </w:p>
        </w:tc>
      </w:tr>
      <w:tr w:rsidR="00012F54" w:rsidRPr="009C3AA9" w:rsidTr="00012F54">
        <w:trPr>
          <w:jc w:val="center"/>
        </w:trPr>
        <w:tc>
          <w:tcPr>
            <w:tcW w:w="12469" w:type="dxa"/>
            <w:gridSpan w:val="9"/>
            <w:vAlign w:val="center"/>
          </w:tcPr>
          <w:p w:rsidR="00012F54" w:rsidRPr="009C3AA9" w:rsidRDefault="00012F54" w:rsidP="009C1175">
            <w:pPr>
              <w:widowControl w:val="0"/>
              <w:spacing w:before="60" w:after="60" w:line="240" w:lineRule="auto"/>
              <w:jc w:val="center"/>
              <w:rPr>
                <w:rFonts w:ascii="Times New Roman" w:hAnsi="Times New Roman"/>
                <w:b/>
                <w:sz w:val="28"/>
                <w:szCs w:val="28"/>
                <w:lang w:val="uk-UA" w:eastAsia="uk-UA"/>
              </w:rPr>
            </w:pPr>
            <w:r w:rsidRPr="009C3AA9">
              <w:rPr>
                <w:rFonts w:ascii="Times New Roman" w:hAnsi="Times New Roman"/>
                <w:sz w:val="28"/>
                <w:szCs w:val="28"/>
                <w:lang w:val="uk-UA"/>
              </w:rPr>
              <w:t>Вихідний стан ОШМК</w:t>
            </w:r>
          </w:p>
        </w:tc>
      </w:tr>
      <w:tr w:rsidR="00012F54" w:rsidRPr="009C3AA9" w:rsidTr="00012F54">
        <w:trPr>
          <w:jc w:val="center"/>
        </w:trPr>
        <w:tc>
          <w:tcPr>
            <w:tcW w:w="2547"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w:t>
            </w:r>
          </w:p>
        </w:tc>
        <w:tc>
          <w:tcPr>
            <w:tcW w:w="1843"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6,40±0,01</w:t>
            </w:r>
          </w:p>
        </w:tc>
        <w:tc>
          <w:tcPr>
            <w:tcW w:w="1349"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w:t>
            </w:r>
          </w:p>
        </w:tc>
        <w:tc>
          <w:tcPr>
            <w:tcW w:w="1769"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6,38±0,01#</w:t>
            </w:r>
          </w:p>
        </w:tc>
        <w:tc>
          <w:tcPr>
            <w:tcW w:w="1488"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w:t>
            </w:r>
          </w:p>
        </w:tc>
        <w:tc>
          <w:tcPr>
            <w:tcW w:w="2056"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sidRPr="009C3AA9">
              <w:rPr>
                <w:rFonts w:ascii="Times New Roman" w:hAnsi="Times New Roman"/>
                <w:sz w:val="28"/>
                <w:szCs w:val="28"/>
                <w:lang w:val="uk-UA" w:eastAsia="uk-UA"/>
              </w:rPr>
              <w:t>6,54</w:t>
            </w:r>
            <w:r w:rsidRPr="009C3AA9">
              <w:rPr>
                <w:rFonts w:ascii="Times New Roman" w:hAnsi="Times New Roman"/>
                <w:sz w:val="28"/>
                <w:szCs w:val="28"/>
                <w:lang w:val="uk-UA"/>
              </w:rPr>
              <w:t>±0,10</w:t>
            </w:r>
          </w:p>
        </w:tc>
        <w:tc>
          <w:tcPr>
            <w:tcW w:w="1417"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sidRPr="009C3AA9">
              <w:rPr>
                <w:rFonts w:ascii="Times New Roman" w:hAnsi="Times New Roman"/>
                <w:sz w:val="28"/>
                <w:szCs w:val="28"/>
                <w:lang w:val="uk-UA" w:eastAsia="uk-UA"/>
              </w:rPr>
              <w:t>–</w:t>
            </w:r>
          </w:p>
        </w:tc>
      </w:tr>
      <w:tr w:rsidR="00012F54" w:rsidRPr="009C3AA9" w:rsidTr="00012F54">
        <w:trPr>
          <w:jc w:val="center"/>
        </w:trPr>
        <w:tc>
          <w:tcPr>
            <w:tcW w:w="12469" w:type="dxa"/>
            <w:gridSpan w:val="9"/>
            <w:vAlign w:val="center"/>
          </w:tcPr>
          <w:p w:rsidR="00012F54" w:rsidRPr="009C3AA9" w:rsidRDefault="00012F54" w:rsidP="009C1175">
            <w:pPr>
              <w:widowControl w:val="0"/>
              <w:spacing w:before="60" w:after="60" w:line="240" w:lineRule="auto"/>
              <w:jc w:val="center"/>
              <w:rPr>
                <w:rFonts w:ascii="Times New Roman" w:hAnsi="Times New Roman"/>
                <w:b/>
                <w:sz w:val="28"/>
                <w:szCs w:val="28"/>
                <w:lang w:val="uk-UA" w:eastAsia="uk-UA"/>
              </w:rPr>
            </w:pPr>
            <w:r w:rsidRPr="009C3AA9">
              <w:rPr>
                <w:rFonts w:ascii="Times New Roman" w:hAnsi="Times New Roman"/>
                <w:sz w:val="28"/>
                <w:szCs w:val="28"/>
                <w:lang w:val="uk-UA"/>
              </w:rPr>
              <w:t xml:space="preserve">Динаміка ОШМК після моделювання САК через </w:t>
            </w:r>
          </w:p>
        </w:tc>
      </w:tr>
      <w:tr w:rsidR="00012F54" w:rsidRPr="009C3AA9" w:rsidTr="00012F54">
        <w:trPr>
          <w:jc w:val="center"/>
        </w:trPr>
        <w:tc>
          <w:tcPr>
            <w:tcW w:w="2547"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 xml:space="preserve">1 </w:t>
            </w:r>
          </w:p>
        </w:tc>
        <w:tc>
          <w:tcPr>
            <w:tcW w:w="1843"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3,61±0,05*</w:t>
            </w:r>
          </w:p>
        </w:tc>
        <w:tc>
          <w:tcPr>
            <w:tcW w:w="1349"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-43,6</w:t>
            </w:r>
          </w:p>
        </w:tc>
        <w:tc>
          <w:tcPr>
            <w:tcW w:w="1769"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3,51±0,05*#</w:t>
            </w:r>
          </w:p>
        </w:tc>
        <w:tc>
          <w:tcPr>
            <w:tcW w:w="1488"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-45,0</w:t>
            </w:r>
          </w:p>
        </w:tc>
        <w:tc>
          <w:tcPr>
            <w:tcW w:w="2056"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sidRPr="009C3AA9">
              <w:rPr>
                <w:rFonts w:ascii="Times New Roman" w:hAnsi="Times New Roman"/>
                <w:sz w:val="28"/>
                <w:szCs w:val="28"/>
                <w:lang w:val="uk-UA" w:eastAsia="uk-UA"/>
              </w:rPr>
              <w:t>3,45</w:t>
            </w:r>
            <w:r w:rsidRPr="009C3AA9">
              <w:rPr>
                <w:rFonts w:ascii="Times New Roman" w:hAnsi="Times New Roman"/>
                <w:sz w:val="28"/>
                <w:szCs w:val="28"/>
                <w:lang w:val="uk-UA"/>
              </w:rPr>
              <w:t>±0,05*#</w:t>
            </w:r>
          </w:p>
        </w:tc>
        <w:tc>
          <w:tcPr>
            <w:tcW w:w="1417"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sidRPr="009C3AA9">
              <w:rPr>
                <w:rFonts w:ascii="Times New Roman" w:hAnsi="Times New Roman"/>
                <w:sz w:val="28"/>
                <w:szCs w:val="28"/>
                <w:lang w:val="uk-UA" w:eastAsia="uk-UA"/>
              </w:rPr>
              <w:t>-47,3</w:t>
            </w:r>
          </w:p>
        </w:tc>
      </w:tr>
      <w:tr w:rsidR="00012F54" w:rsidRPr="009C3AA9" w:rsidTr="00012F54">
        <w:trPr>
          <w:jc w:val="center"/>
        </w:trPr>
        <w:tc>
          <w:tcPr>
            <w:tcW w:w="2547"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 xml:space="preserve">24 </w:t>
            </w:r>
          </w:p>
        </w:tc>
        <w:tc>
          <w:tcPr>
            <w:tcW w:w="1843"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3,39±0,05*</w:t>
            </w:r>
          </w:p>
        </w:tc>
        <w:tc>
          <w:tcPr>
            <w:tcW w:w="1349"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-47,1</w:t>
            </w:r>
          </w:p>
        </w:tc>
        <w:tc>
          <w:tcPr>
            <w:tcW w:w="1769"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4,31±0,06*#</w:t>
            </w:r>
          </w:p>
        </w:tc>
        <w:tc>
          <w:tcPr>
            <w:tcW w:w="1488"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-32,5</w:t>
            </w:r>
          </w:p>
        </w:tc>
        <w:tc>
          <w:tcPr>
            <w:tcW w:w="2056"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sidRPr="009C3AA9">
              <w:rPr>
                <w:rFonts w:ascii="Times New Roman" w:hAnsi="Times New Roman"/>
                <w:sz w:val="28"/>
                <w:szCs w:val="28"/>
                <w:lang w:val="uk-UA" w:eastAsia="uk-UA"/>
              </w:rPr>
              <w:t>4,11</w:t>
            </w:r>
            <w:r w:rsidRPr="009C3AA9">
              <w:rPr>
                <w:rFonts w:ascii="Times New Roman" w:hAnsi="Times New Roman"/>
                <w:sz w:val="28"/>
                <w:szCs w:val="28"/>
                <w:lang w:val="uk-UA"/>
              </w:rPr>
              <w:t>±0,06*</w:t>
            </w:r>
            <w:r w:rsidRPr="009C3AA9">
              <w:rPr>
                <w:rFonts w:ascii="Times New Roman" w:hAnsi="Times New Roman"/>
                <w:sz w:val="28"/>
                <w:szCs w:val="28"/>
                <w:vertAlign w:val="superscript"/>
                <w:lang w:val="uk-UA"/>
              </w:rPr>
              <w:t>α</w:t>
            </w:r>
            <w:r w:rsidRPr="009C3AA9">
              <w:rPr>
                <w:rFonts w:ascii="Times New Roman" w:hAnsi="Times New Roman"/>
                <w:sz w:val="28"/>
                <w:szCs w:val="28"/>
                <w:lang w:val="uk-UA"/>
              </w:rPr>
              <w:t>#</w:t>
            </w:r>
          </w:p>
        </w:tc>
        <w:tc>
          <w:tcPr>
            <w:tcW w:w="1417"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sidRPr="009C3AA9">
              <w:rPr>
                <w:rFonts w:ascii="Times New Roman" w:hAnsi="Times New Roman"/>
                <w:sz w:val="28"/>
                <w:szCs w:val="28"/>
                <w:lang w:val="uk-UA" w:eastAsia="uk-UA"/>
              </w:rPr>
              <w:t>-37,2</w:t>
            </w:r>
          </w:p>
        </w:tc>
      </w:tr>
      <w:tr w:rsidR="00012F54" w:rsidRPr="009C3AA9" w:rsidTr="00012F54">
        <w:trPr>
          <w:jc w:val="center"/>
        </w:trPr>
        <w:tc>
          <w:tcPr>
            <w:tcW w:w="2547"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 xml:space="preserve">48 </w:t>
            </w:r>
          </w:p>
        </w:tc>
        <w:tc>
          <w:tcPr>
            <w:tcW w:w="1843"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3,24±0,04*</w:t>
            </w:r>
          </w:p>
        </w:tc>
        <w:tc>
          <w:tcPr>
            <w:tcW w:w="1349"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-47,4</w:t>
            </w:r>
          </w:p>
        </w:tc>
        <w:tc>
          <w:tcPr>
            <w:tcW w:w="1769"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4,76±0,04*#</w:t>
            </w:r>
          </w:p>
        </w:tc>
        <w:tc>
          <w:tcPr>
            <w:tcW w:w="1488"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-25,4</w:t>
            </w:r>
          </w:p>
        </w:tc>
        <w:tc>
          <w:tcPr>
            <w:tcW w:w="2056"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sidRPr="009C3AA9">
              <w:rPr>
                <w:rFonts w:ascii="Times New Roman" w:hAnsi="Times New Roman"/>
                <w:sz w:val="28"/>
                <w:szCs w:val="28"/>
                <w:lang w:val="uk-UA" w:eastAsia="uk-UA"/>
              </w:rPr>
              <w:t>4,45</w:t>
            </w:r>
            <w:r w:rsidRPr="009C3AA9">
              <w:rPr>
                <w:rFonts w:ascii="Times New Roman" w:hAnsi="Times New Roman"/>
                <w:sz w:val="28"/>
                <w:szCs w:val="28"/>
                <w:lang w:val="uk-UA"/>
              </w:rPr>
              <w:t>±0,07*</w:t>
            </w:r>
            <w:r w:rsidRPr="009C3AA9">
              <w:rPr>
                <w:rFonts w:ascii="Times New Roman" w:hAnsi="Times New Roman"/>
                <w:sz w:val="28"/>
                <w:szCs w:val="28"/>
                <w:vertAlign w:val="superscript"/>
                <w:lang w:val="uk-UA"/>
              </w:rPr>
              <w:t>α</w:t>
            </w:r>
            <w:r w:rsidRPr="009C3AA9">
              <w:rPr>
                <w:rFonts w:ascii="Times New Roman" w:hAnsi="Times New Roman"/>
                <w:sz w:val="28"/>
                <w:szCs w:val="28"/>
                <w:lang w:val="uk-UA"/>
              </w:rPr>
              <w:t>#</w:t>
            </w:r>
          </w:p>
        </w:tc>
        <w:tc>
          <w:tcPr>
            <w:tcW w:w="1417"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sidRPr="009C3AA9">
              <w:rPr>
                <w:rFonts w:ascii="Times New Roman" w:hAnsi="Times New Roman"/>
                <w:sz w:val="28"/>
                <w:szCs w:val="28"/>
                <w:lang w:val="uk-UA" w:eastAsia="uk-UA"/>
              </w:rPr>
              <w:t>-32,0</w:t>
            </w:r>
          </w:p>
        </w:tc>
      </w:tr>
      <w:tr w:rsidR="00012F54" w:rsidRPr="009C3AA9" w:rsidTr="00012F54">
        <w:trPr>
          <w:jc w:val="center"/>
        </w:trPr>
        <w:tc>
          <w:tcPr>
            <w:tcW w:w="2547"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 xml:space="preserve">72 </w:t>
            </w:r>
          </w:p>
        </w:tc>
        <w:tc>
          <w:tcPr>
            <w:tcW w:w="1843"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3,08±0,03*</w:t>
            </w:r>
          </w:p>
        </w:tc>
        <w:tc>
          <w:tcPr>
            <w:tcW w:w="1349"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-51,9</w:t>
            </w:r>
          </w:p>
        </w:tc>
        <w:tc>
          <w:tcPr>
            <w:tcW w:w="1769"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5,11±0,05*#</w:t>
            </w:r>
          </w:p>
        </w:tc>
        <w:tc>
          <w:tcPr>
            <w:tcW w:w="1488"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-19,9</w:t>
            </w:r>
          </w:p>
        </w:tc>
        <w:tc>
          <w:tcPr>
            <w:tcW w:w="2056"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sidRPr="009C3AA9">
              <w:rPr>
                <w:rFonts w:ascii="Times New Roman" w:hAnsi="Times New Roman"/>
                <w:sz w:val="28"/>
                <w:szCs w:val="28"/>
                <w:lang w:val="uk-UA" w:eastAsia="uk-UA"/>
              </w:rPr>
              <w:t>4,73</w:t>
            </w:r>
            <w:r w:rsidRPr="009C3AA9">
              <w:rPr>
                <w:rFonts w:ascii="Times New Roman" w:hAnsi="Times New Roman"/>
                <w:sz w:val="28"/>
                <w:szCs w:val="28"/>
                <w:lang w:val="uk-UA"/>
              </w:rPr>
              <w:t>±0,08*</w:t>
            </w:r>
            <w:r w:rsidRPr="009C3AA9">
              <w:rPr>
                <w:rFonts w:ascii="Times New Roman" w:hAnsi="Times New Roman"/>
                <w:sz w:val="28"/>
                <w:szCs w:val="28"/>
                <w:vertAlign w:val="superscript"/>
                <w:lang w:val="uk-UA"/>
              </w:rPr>
              <w:t>α</w:t>
            </w:r>
            <w:r w:rsidRPr="009C3AA9">
              <w:rPr>
                <w:rFonts w:ascii="Times New Roman" w:hAnsi="Times New Roman"/>
                <w:sz w:val="28"/>
                <w:szCs w:val="28"/>
                <w:lang w:val="uk-UA"/>
              </w:rPr>
              <w:t>#</w:t>
            </w:r>
          </w:p>
        </w:tc>
        <w:tc>
          <w:tcPr>
            <w:tcW w:w="1417"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sidRPr="009C3AA9">
              <w:rPr>
                <w:rFonts w:ascii="Times New Roman" w:hAnsi="Times New Roman"/>
                <w:sz w:val="28"/>
                <w:szCs w:val="28"/>
                <w:lang w:val="uk-UA" w:eastAsia="uk-UA"/>
              </w:rPr>
              <w:t>-27,7</w:t>
            </w:r>
          </w:p>
        </w:tc>
      </w:tr>
      <w:tr w:rsidR="00012F54" w:rsidRPr="009C3AA9" w:rsidTr="00012F54">
        <w:trPr>
          <w:jc w:val="center"/>
        </w:trPr>
        <w:tc>
          <w:tcPr>
            <w:tcW w:w="2547"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 xml:space="preserve">96 </w:t>
            </w:r>
          </w:p>
        </w:tc>
        <w:tc>
          <w:tcPr>
            <w:tcW w:w="1843"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3,01±0,01*</w:t>
            </w:r>
          </w:p>
        </w:tc>
        <w:tc>
          <w:tcPr>
            <w:tcW w:w="1349"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-53,0</w:t>
            </w:r>
          </w:p>
        </w:tc>
        <w:tc>
          <w:tcPr>
            <w:tcW w:w="1769"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5,84±0,05*#</w:t>
            </w:r>
          </w:p>
        </w:tc>
        <w:tc>
          <w:tcPr>
            <w:tcW w:w="1488"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rPr>
            </w:pPr>
            <w:r w:rsidRPr="009C3AA9">
              <w:rPr>
                <w:rFonts w:ascii="Times New Roman" w:hAnsi="Times New Roman"/>
                <w:sz w:val="28"/>
                <w:szCs w:val="28"/>
                <w:lang w:val="uk-UA"/>
              </w:rPr>
              <w:t>-18,5</w:t>
            </w:r>
          </w:p>
        </w:tc>
        <w:tc>
          <w:tcPr>
            <w:tcW w:w="2056" w:type="dxa"/>
            <w:gridSpan w:val="2"/>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sidRPr="009C3AA9">
              <w:rPr>
                <w:rFonts w:ascii="Times New Roman" w:hAnsi="Times New Roman"/>
                <w:sz w:val="28"/>
                <w:szCs w:val="28"/>
                <w:lang w:val="uk-UA" w:eastAsia="uk-UA"/>
              </w:rPr>
              <w:t>5,07</w:t>
            </w:r>
            <w:r w:rsidRPr="009C3AA9">
              <w:rPr>
                <w:rFonts w:ascii="Times New Roman" w:hAnsi="Times New Roman"/>
                <w:sz w:val="28"/>
                <w:szCs w:val="28"/>
                <w:lang w:val="uk-UA"/>
              </w:rPr>
              <w:t>±0,06*</w:t>
            </w:r>
            <w:r w:rsidRPr="009C3AA9">
              <w:rPr>
                <w:rFonts w:ascii="Times New Roman" w:hAnsi="Times New Roman"/>
                <w:sz w:val="28"/>
                <w:szCs w:val="28"/>
                <w:vertAlign w:val="superscript"/>
                <w:lang w:val="uk-UA"/>
              </w:rPr>
              <w:t>α</w:t>
            </w:r>
            <w:r w:rsidRPr="009C3AA9">
              <w:rPr>
                <w:rFonts w:ascii="Times New Roman" w:hAnsi="Times New Roman"/>
                <w:sz w:val="28"/>
                <w:szCs w:val="28"/>
                <w:lang w:val="uk-UA"/>
              </w:rPr>
              <w:t>#</w:t>
            </w:r>
          </w:p>
        </w:tc>
        <w:tc>
          <w:tcPr>
            <w:tcW w:w="1417" w:type="dxa"/>
            <w:vAlign w:val="center"/>
          </w:tcPr>
          <w:p w:rsidR="00012F54" w:rsidRPr="009C3AA9" w:rsidRDefault="00012F54" w:rsidP="009C1175">
            <w:pPr>
              <w:widowControl w:val="0"/>
              <w:spacing w:before="60" w:after="60" w:line="240" w:lineRule="auto"/>
              <w:jc w:val="center"/>
              <w:rPr>
                <w:rFonts w:ascii="Times New Roman" w:hAnsi="Times New Roman"/>
                <w:sz w:val="28"/>
                <w:szCs w:val="28"/>
                <w:lang w:val="uk-UA" w:eastAsia="uk-UA"/>
              </w:rPr>
            </w:pPr>
            <w:r w:rsidRPr="009C3AA9">
              <w:rPr>
                <w:rFonts w:ascii="Times New Roman" w:hAnsi="Times New Roman"/>
                <w:sz w:val="28"/>
                <w:szCs w:val="28"/>
                <w:lang w:val="uk-UA" w:eastAsia="uk-UA"/>
              </w:rPr>
              <w:t>-22,5</w:t>
            </w:r>
          </w:p>
        </w:tc>
      </w:tr>
    </w:tbl>
    <w:p w:rsidR="00012F54" w:rsidRPr="009C1175" w:rsidRDefault="00012F54" w:rsidP="00012F54">
      <w:pPr>
        <w:widowControl w:val="0"/>
        <w:shd w:val="clear" w:color="auto" w:fill="FFFFFF"/>
        <w:spacing w:after="0" w:line="240" w:lineRule="auto"/>
        <w:ind w:firstLine="284"/>
        <w:jc w:val="both"/>
        <w:rPr>
          <w:rFonts w:ascii="Times New Roman" w:hAnsi="Times New Roman"/>
          <w:sz w:val="16"/>
          <w:szCs w:val="16"/>
          <w:lang w:val="uk-UA"/>
        </w:rPr>
      </w:pPr>
    </w:p>
    <w:p w:rsidR="00012F54" w:rsidRDefault="00012F54" w:rsidP="00012F54">
      <w:pPr>
        <w:widowControl w:val="0"/>
        <w:shd w:val="clear" w:color="auto" w:fill="FFFFFF"/>
        <w:spacing w:after="0" w:line="240" w:lineRule="auto"/>
        <w:ind w:firstLine="284"/>
        <w:jc w:val="both"/>
        <w:rPr>
          <w:rFonts w:ascii="Times New Roman" w:hAnsi="Times New Roman"/>
          <w:sz w:val="28"/>
          <w:szCs w:val="28"/>
          <w:lang w:val="uk-UA"/>
        </w:rPr>
      </w:pPr>
      <w:r w:rsidRPr="009C3AA9">
        <w:rPr>
          <w:rFonts w:ascii="Times New Roman" w:hAnsi="Times New Roman"/>
          <w:sz w:val="28"/>
          <w:szCs w:val="28"/>
          <w:lang w:val="uk-UA"/>
        </w:rPr>
        <w:t>Примітки:</w:t>
      </w:r>
    </w:p>
    <w:p w:rsidR="00012F54" w:rsidRPr="009C1175" w:rsidRDefault="00012F54" w:rsidP="00012F54">
      <w:pPr>
        <w:widowControl w:val="0"/>
        <w:shd w:val="clear" w:color="auto" w:fill="FFFFFF"/>
        <w:spacing w:after="0" w:line="240" w:lineRule="auto"/>
        <w:ind w:firstLine="284"/>
        <w:jc w:val="both"/>
        <w:rPr>
          <w:rFonts w:ascii="Times New Roman" w:hAnsi="Times New Roman"/>
          <w:sz w:val="16"/>
          <w:szCs w:val="16"/>
          <w:lang w:val="uk-UA"/>
        </w:rPr>
      </w:pPr>
    </w:p>
    <w:p w:rsidR="00012F54" w:rsidRPr="00047AD6" w:rsidRDefault="00012F54" w:rsidP="00012F54">
      <w:pPr>
        <w:pStyle w:val="a5"/>
        <w:widowControl w:val="0"/>
        <w:numPr>
          <w:ilvl w:val="0"/>
          <w:numId w:val="14"/>
        </w:numPr>
        <w:shd w:val="clear" w:color="auto" w:fill="FFFFFF"/>
        <w:tabs>
          <w:tab w:val="left" w:pos="851"/>
        </w:tabs>
        <w:spacing w:after="0" w:line="360" w:lineRule="auto"/>
        <w:ind w:left="425" w:firstLine="0"/>
        <w:jc w:val="both"/>
        <w:rPr>
          <w:rFonts w:ascii="Times New Roman" w:hAnsi="Times New Roman"/>
          <w:sz w:val="28"/>
          <w:szCs w:val="28"/>
          <w:lang w:val="uk-UA"/>
        </w:rPr>
      </w:pPr>
      <w:r w:rsidRPr="009C3AA9">
        <w:rPr>
          <w:rFonts w:ascii="Times New Roman" w:hAnsi="Times New Roman"/>
          <w:sz w:val="28"/>
          <w:szCs w:val="28"/>
          <w:lang w:val="uk-UA"/>
        </w:rPr>
        <w:t xml:space="preserve">* </w:t>
      </w:r>
      <w:r w:rsidRPr="00047AD6">
        <w:rPr>
          <w:rFonts w:ascii="Times New Roman" w:hAnsi="Times New Roman"/>
          <w:sz w:val="28"/>
          <w:szCs w:val="28"/>
          <w:lang w:val="uk-UA"/>
        </w:rPr>
        <w:t>– р&lt;0,05 відносно вихідного стану в середині групи;</w:t>
      </w:r>
    </w:p>
    <w:p w:rsidR="00012F54" w:rsidRPr="00047AD6" w:rsidRDefault="00012F54" w:rsidP="00012F54">
      <w:pPr>
        <w:widowControl w:val="0"/>
        <w:numPr>
          <w:ilvl w:val="0"/>
          <w:numId w:val="14"/>
        </w:numPr>
        <w:shd w:val="clear" w:color="auto" w:fill="FFFFFF"/>
        <w:tabs>
          <w:tab w:val="left" w:pos="851"/>
        </w:tabs>
        <w:spacing w:after="0" w:line="360" w:lineRule="auto"/>
        <w:ind w:left="425" w:firstLine="0"/>
        <w:jc w:val="both"/>
        <w:rPr>
          <w:rFonts w:ascii="Times New Roman" w:hAnsi="Times New Roman"/>
          <w:sz w:val="28"/>
          <w:szCs w:val="28"/>
          <w:lang w:val="uk-UA" w:eastAsia="uk-UA"/>
        </w:rPr>
      </w:pPr>
      <w:r w:rsidRPr="00047AD6">
        <w:rPr>
          <w:rFonts w:ascii="Times New Roman" w:hAnsi="Times New Roman"/>
          <w:sz w:val="28"/>
          <w:szCs w:val="28"/>
          <w:lang w:val="uk-UA"/>
        </w:rPr>
        <w:t># – р&lt;0,05 відносно контрольної патології;</w:t>
      </w:r>
    </w:p>
    <w:p w:rsidR="00012F54" w:rsidRPr="00047AD6" w:rsidRDefault="00012F54" w:rsidP="00012F54">
      <w:pPr>
        <w:pStyle w:val="a5"/>
        <w:widowControl w:val="0"/>
        <w:numPr>
          <w:ilvl w:val="0"/>
          <w:numId w:val="14"/>
        </w:numPr>
        <w:tabs>
          <w:tab w:val="left" w:pos="851"/>
        </w:tabs>
        <w:spacing w:after="0" w:line="360" w:lineRule="auto"/>
        <w:ind w:left="425" w:firstLine="0"/>
        <w:rPr>
          <w:rFonts w:ascii="Times New Roman" w:hAnsi="Times New Roman"/>
          <w:sz w:val="28"/>
          <w:szCs w:val="28"/>
          <w:lang w:val="uk-UA"/>
        </w:rPr>
      </w:pPr>
      <w:r w:rsidRPr="00047AD6">
        <w:rPr>
          <w:rFonts w:ascii="Times New Roman" w:hAnsi="Times New Roman"/>
          <w:sz w:val="28"/>
          <w:szCs w:val="28"/>
          <w:lang w:val="uk-UA"/>
        </w:rPr>
        <w:t>α – р&lt;0,05 відносно німодипіну.</w:t>
      </w:r>
    </w:p>
    <w:p w:rsidR="00012F54" w:rsidRPr="009C1175" w:rsidRDefault="00012F54" w:rsidP="005879AB">
      <w:pPr>
        <w:pStyle w:val="a5"/>
        <w:widowControl w:val="0"/>
        <w:numPr>
          <w:ilvl w:val="0"/>
          <w:numId w:val="14"/>
        </w:numPr>
        <w:tabs>
          <w:tab w:val="left" w:pos="851"/>
        </w:tabs>
        <w:spacing w:after="0" w:line="360" w:lineRule="auto"/>
        <w:ind w:left="142" w:firstLine="284"/>
        <w:jc w:val="both"/>
        <w:rPr>
          <w:rFonts w:ascii="Times New Roman" w:hAnsi="Times New Roman"/>
          <w:sz w:val="28"/>
          <w:szCs w:val="28"/>
          <w:lang w:val="uk-UA"/>
        </w:rPr>
      </w:pPr>
      <w:r w:rsidRPr="009C1175">
        <w:rPr>
          <w:rFonts w:ascii="Times New Roman" w:hAnsi="Times New Roman"/>
          <w:sz w:val="28"/>
          <w:szCs w:val="28"/>
          <w:lang w:val="en-US"/>
        </w:rPr>
        <w:t>n</w:t>
      </w:r>
      <w:r w:rsidRPr="009C1175">
        <w:rPr>
          <w:rFonts w:ascii="Times New Roman" w:hAnsi="Times New Roman"/>
          <w:sz w:val="28"/>
          <w:szCs w:val="28"/>
        </w:rPr>
        <w:t xml:space="preserve"> –</w:t>
      </w:r>
      <w:r w:rsidRPr="009C1175">
        <w:rPr>
          <w:rFonts w:ascii="Times New Roman" w:hAnsi="Times New Roman"/>
          <w:sz w:val="28"/>
          <w:szCs w:val="28"/>
          <w:lang w:val="uk-UA"/>
        </w:rPr>
        <w:t xml:space="preserve"> кількість тварин в групі.</w:t>
      </w:r>
    </w:p>
    <w:p w:rsidR="00012F54" w:rsidRDefault="00012F54" w:rsidP="00012F54">
      <w:pPr>
        <w:widowControl w:val="0"/>
        <w:spacing w:after="0" w:line="360" w:lineRule="auto"/>
        <w:ind w:firstLine="284"/>
        <w:jc w:val="both"/>
        <w:rPr>
          <w:rFonts w:ascii="Times New Roman" w:hAnsi="Times New Roman"/>
          <w:sz w:val="28"/>
          <w:szCs w:val="28"/>
          <w:lang w:val="uk-UA"/>
        </w:rPr>
        <w:sectPr w:rsidR="00012F54" w:rsidSect="00012F54">
          <w:pgSz w:w="16838" w:h="11906" w:orient="landscape"/>
          <w:pgMar w:top="1134" w:right="1134" w:bottom="567" w:left="1134" w:header="708" w:footer="708" w:gutter="0"/>
          <w:cols w:space="708"/>
          <w:docGrid w:linePitch="360"/>
        </w:sectPr>
      </w:pPr>
    </w:p>
    <w:p w:rsidR="00012F54" w:rsidRPr="009C3AA9" w:rsidRDefault="00012F54" w:rsidP="00B065B6">
      <w:pPr>
        <w:widowControl w:val="0"/>
        <w:spacing w:after="0" w:line="360" w:lineRule="auto"/>
        <w:ind w:firstLine="284"/>
        <w:jc w:val="both"/>
        <w:rPr>
          <w:rFonts w:ascii="Times New Roman" w:hAnsi="Times New Roman"/>
          <w:sz w:val="28"/>
          <w:szCs w:val="28"/>
          <w:lang w:val="uk-UA"/>
        </w:rPr>
      </w:pPr>
      <w:r w:rsidRPr="009C3AA9">
        <w:rPr>
          <w:rFonts w:ascii="Times New Roman" w:hAnsi="Times New Roman"/>
          <w:sz w:val="28"/>
          <w:szCs w:val="28"/>
          <w:lang w:val="uk-UA"/>
        </w:rPr>
        <w:lastRenderedPageBreak/>
        <w:t xml:space="preserve">Так, наприкінці 4-ої доби після моделювання САК показник ОШМК був вірогідно нижчим відносно вихідного стану в середньому на 53 %. Отже, введення щурам у </w:t>
      </w:r>
      <w:r>
        <w:rPr>
          <w:rFonts w:ascii="Times New Roman" w:hAnsi="Times New Roman"/>
          <w:sz w:val="28"/>
          <w:szCs w:val="28"/>
          <w:lang w:val="uk-UA"/>
        </w:rPr>
        <w:t>САП</w:t>
      </w:r>
      <w:r w:rsidRPr="009C3AA9">
        <w:rPr>
          <w:rFonts w:ascii="Times New Roman" w:hAnsi="Times New Roman"/>
          <w:sz w:val="28"/>
          <w:szCs w:val="28"/>
          <w:lang w:val="uk-UA"/>
        </w:rPr>
        <w:t xml:space="preserve">аутокрові в об’ємі 0,1 мл/100 г упродовж усього гострого періоду інсульту (4 доби) супроводжується зниженням рівня мозкового кровоплину в </w:t>
      </w:r>
      <w:r>
        <w:rPr>
          <w:rFonts w:ascii="Times New Roman" w:hAnsi="Times New Roman"/>
          <w:sz w:val="28"/>
          <w:szCs w:val="28"/>
          <w:lang w:val="uk-UA"/>
        </w:rPr>
        <w:t>СМА</w:t>
      </w:r>
      <w:r w:rsidRPr="009C3AA9">
        <w:rPr>
          <w:rFonts w:ascii="Times New Roman" w:hAnsi="Times New Roman"/>
          <w:sz w:val="28"/>
          <w:szCs w:val="28"/>
          <w:lang w:val="uk-UA"/>
        </w:rPr>
        <w:t xml:space="preserve"> відносно вихідного стану більш ніж удвічі.</w:t>
      </w:r>
    </w:p>
    <w:p w:rsidR="00012F54" w:rsidRPr="009C3AA9" w:rsidRDefault="00012F54" w:rsidP="00406EAF">
      <w:pPr>
        <w:widowControl w:val="0"/>
        <w:spacing w:after="0" w:line="360" w:lineRule="auto"/>
        <w:ind w:firstLine="284"/>
        <w:jc w:val="both"/>
        <w:rPr>
          <w:rFonts w:ascii="Times New Roman" w:hAnsi="Times New Roman"/>
          <w:sz w:val="28"/>
          <w:szCs w:val="28"/>
          <w:lang w:val="uk-UA"/>
        </w:rPr>
      </w:pPr>
      <w:r w:rsidRPr="009C3AA9">
        <w:rPr>
          <w:rFonts w:ascii="Times New Roman" w:hAnsi="Times New Roman"/>
          <w:sz w:val="28"/>
          <w:szCs w:val="28"/>
          <w:lang w:val="uk-UA"/>
        </w:rPr>
        <w:t xml:space="preserve">Адемол, як і німодипін, вже після одноразового введення (кінець першої доби) значно (відповідно на 27,1 % і 21,2 %, р&lt;0,05 відносно групи контрольної патології) збільшували кровопостачання головного мозку щурів із САК через </w:t>
      </w:r>
      <w:r>
        <w:rPr>
          <w:rFonts w:ascii="Times New Roman" w:hAnsi="Times New Roman"/>
          <w:sz w:val="28"/>
          <w:szCs w:val="28"/>
          <w:lang w:val="uk-UA"/>
        </w:rPr>
        <w:t>СМА</w:t>
      </w:r>
      <w:r w:rsidRPr="009C3AA9">
        <w:rPr>
          <w:rFonts w:ascii="Times New Roman" w:hAnsi="Times New Roman"/>
          <w:sz w:val="28"/>
          <w:szCs w:val="28"/>
          <w:lang w:val="uk-UA"/>
        </w:rPr>
        <w:t>. На 4-ту до</w:t>
      </w:r>
      <w:r w:rsidR="00406EAF">
        <w:rPr>
          <w:rFonts w:ascii="Times New Roman" w:hAnsi="Times New Roman"/>
          <w:sz w:val="28"/>
          <w:szCs w:val="28"/>
          <w:lang w:val="uk-UA"/>
        </w:rPr>
        <w:t>-</w:t>
      </w:r>
      <w:r w:rsidRPr="009C3AA9">
        <w:rPr>
          <w:rFonts w:ascii="Times New Roman" w:hAnsi="Times New Roman"/>
          <w:sz w:val="28"/>
          <w:szCs w:val="28"/>
          <w:lang w:val="uk-UA"/>
        </w:rPr>
        <w:t>бу окремої терапії щурів із геморагічним інсультом адемолом, або німодипіном, кровоплин вірогідно збільшився відносно групи контрольної патології в середньому відповідно на 68,4 та 94,1 %.</w:t>
      </w:r>
      <w:r w:rsidR="00862A87">
        <w:rPr>
          <w:rFonts w:ascii="Times New Roman" w:hAnsi="Times New Roman"/>
          <w:sz w:val="28"/>
          <w:szCs w:val="28"/>
          <w:lang w:val="uk-UA"/>
        </w:rPr>
        <w:t>З</w:t>
      </w:r>
      <w:r w:rsidRPr="009C3AA9">
        <w:rPr>
          <w:rFonts w:ascii="Times New Roman" w:hAnsi="Times New Roman"/>
          <w:sz w:val="28"/>
          <w:szCs w:val="28"/>
          <w:lang w:val="uk-UA"/>
        </w:rPr>
        <w:t>а величиною стимулювального впливу на мозкову гемо</w:t>
      </w:r>
      <w:r w:rsidR="00406EAF">
        <w:rPr>
          <w:rFonts w:ascii="Times New Roman" w:hAnsi="Times New Roman"/>
          <w:sz w:val="28"/>
          <w:szCs w:val="28"/>
          <w:lang w:val="uk-UA"/>
        </w:rPr>
        <w:t>-</w:t>
      </w:r>
      <w:r w:rsidRPr="009C3AA9">
        <w:rPr>
          <w:rFonts w:ascii="Times New Roman" w:hAnsi="Times New Roman"/>
          <w:sz w:val="28"/>
          <w:szCs w:val="28"/>
          <w:lang w:val="uk-UA"/>
        </w:rPr>
        <w:t>динаміку адемол упродовж усього терміну спостереження, починаючи з першої доби, поступався референс-препарату в середньом</w:t>
      </w:r>
      <w:r w:rsidR="00862A87">
        <w:rPr>
          <w:rFonts w:ascii="Times New Roman" w:hAnsi="Times New Roman"/>
          <w:sz w:val="28"/>
          <w:szCs w:val="28"/>
          <w:lang w:val="uk-UA"/>
        </w:rPr>
        <w:t>у на 4,8-15,2 % (р&lt;0,05). Однак,</w:t>
      </w:r>
      <w:r w:rsidRPr="009C3AA9">
        <w:rPr>
          <w:rFonts w:ascii="Times New Roman" w:hAnsi="Times New Roman"/>
          <w:sz w:val="28"/>
          <w:szCs w:val="28"/>
          <w:lang w:val="uk-UA"/>
        </w:rPr>
        <w:t xml:space="preserve"> у аде</w:t>
      </w:r>
      <w:r w:rsidR="00406EAF">
        <w:rPr>
          <w:rFonts w:ascii="Times New Roman" w:hAnsi="Times New Roman"/>
          <w:sz w:val="28"/>
          <w:szCs w:val="28"/>
          <w:lang w:val="uk-UA"/>
        </w:rPr>
        <w:t>-</w:t>
      </w:r>
      <w:r w:rsidRPr="009C3AA9">
        <w:rPr>
          <w:rFonts w:ascii="Times New Roman" w:hAnsi="Times New Roman"/>
          <w:sz w:val="28"/>
          <w:szCs w:val="28"/>
          <w:lang w:val="uk-UA"/>
        </w:rPr>
        <w:t>молу є переваги перед німодипіном, одна з яких полягає у можливості викори</w:t>
      </w:r>
      <w:r w:rsidR="00406EAF">
        <w:rPr>
          <w:rFonts w:ascii="Times New Roman" w:hAnsi="Times New Roman"/>
          <w:sz w:val="28"/>
          <w:szCs w:val="28"/>
          <w:lang w:val="uk-UA"/>
        </w:rPr>
        <w:t>-</w:t>
      </w:r>
      <w:r w:rsidRPr="009C3AA9">
        <w:rPr>
          <w:rFonts w:ascii="Times New Roman" w:hAnsi="Times New Roman"/>
          <w:sz w:val="28"/>
          <w:szCs w:val="28"/>
          <w:lang w:val="uk-UA"/>
        </w:rPr>
        <w:t xml:space="preserve">стовувати його для недиференційованої терапії ГПМК, як при ішемічному так і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9C3AA9">
        <w:rPr>
          <w:rFonts w:ascii="Times New Roman" w:hAnsi="Times New Roman"/>
          <w:sz w:val="28"/>
          <w:szCs w:val="28"/>
          <w:lang w:val="uk-UA"/>
        </w:rPr>
        <w:t>.</w:t>
      </w:r>
    </w:p>
    <w:p w:rsidR="00012F54" w:rsidRPr="009C3AA9" w:rsidRDefault="00012F54" w:rsidP="00B065B6">
      <w:pPr>
        <w:widowControl w:val="0"/>
        <w:spacing w:after="0" w:line="360" w:lineRule="auto"/>
        <w:ind w:firstLine="284"/>
        <w:jc w:val="both"/>
        <w:rPr>
          <w:rFonts w:ascii="Times New Roman" w:hAnsi="Times New Roman"/>
          <w:sz w:val="28"/>
          <w:szCs w:val="28"/>
          <w:lang w:val="uk-UA"/>
        </w:rPr>
      </w:pPr>
      <w:r w:rsidRPr="009C3AA9">
        <w:rPr>
          <w:rFonts w:ascii="Times New Roman" w:hAnsi="Times New Roman"/>
          <w:sz w:val="28"/>
          <w:szCs w:val="28"/>
          <w:lang w:val="uk-UA"/>
        </w:rPr>
        <w:t xml:space="preserve">Таким чином, результати досліджень свідчать, що в умовах модельного САК на тлі застосування промислового зразка 1,0 % розчину 1-адамантилетилокси-3-морфоліно-2-пропанолу гідрохлориду (адемол) покращується об’ємний кровоплин через </w:t>
      </w:r>
      <w:r>
        <w:rPr>
          <w:rFonts w:ascii="Times New Roman" w:hAnsi="Times New Roman"/>
          <w:sz w:val="28"/>
          <w:szCs w:val="28"/>
          <w:lang w:val="uk-UA"/>
        </w:rPr>
        <w:t>СМА</w:t>
      </w:r>
      <w:r w:rsidRPr="009C3AA9">
        <w:rPr>
          <w:rFonts w:ascii="Times New Roman" w:hAnsi="Times New Roman"/>
          <w:sz w:val="28"/>
          <w:szCs w:val="28"/>
          <w:lang w:val="uk-UA"/>
        </w:rPr>
        <w:t xml:space="preserve">. Ця властивість досліджуваного похідного адамантану, є важливою складовою та, очевидно, первинною ланкою його церебропротекторної дії в умовах САК. </w:t>
      </w:r>
    </w:p>
    <w:p w:rsidR="00012F54" w:rsidRPr="00986762" w:rsidRDefault="00012F54" w:rsidP="00B065B6">
      <w:pPr>
        <w:pStyle w:val="2"/>
        <w:spacing w:line="360" w:lineRule="auto"/>
        <w:ind w:firstLine="284"/>
        <w:jc w:val="both"/>
        <w:rPr>
          <w:rFonts w:ascii="Times New Roman" w:hAnsi="Times New Roman" w:cs="Times New Roman"/>
          <w:color w:val="auto"/>
          <w:sz w:val="28"/>
          <w:szCs w:val="28"/>
          <w:lang w:val="uk-UA"/>
        </w:rPr>
      </w:pPr>
      <w:r w:rsidRPr="00986762">
        <w:rPr>
          <w:rFonts w:ascii="Times New Roman" w:hAnsi="Times New Roman" w:cs="Times New Roman"/>
          <w:color w:val="auto"/>
          <w:sz w:val="28"/>
          <w:szCs w:val="28"/>
          <w:lang w:val="uk-UA"/>
        </w:rPr>
        <w:t>4.2 Характеристика показників мікроциркуляції, центральної гемодинаміки та значень внутрішньочерепного тиску у тварин із різними підтипами геморагічного інсульту на тлі інфузії розчинів адемолу або німодипіну</w:t>
      </w:r>
    </w:p>
    <w:p w:rsidR="00012F54" w:rsidRDefault="00012F54" w:rsidP="00B065B6">
      <w:pPr>
        <w:pStyle w:val="-1"/>
        <w:widowControl w:val="0"/>
        <w:spacing w:line="360" w:lineRule="auto"/>
        <w:ind w:firstLine="284"/>
        <w:rPr>
          <w:sz w:val="28"/>
          <w:szCs w:val="28"/>
          <w:lang w:val="uk-UA"/>
        </w:rPr>
      </w:pPr>
      <w:r w:rsidRPr="001F0A71">
        <w:rPr>
          <w:sz w:val="28"/>
          <w:szCs w:val="28"/>
          <w:lang w:val="uk-UA"/>
        </w:rPr>
        <w:t>Збереження достатнього кровоплину</w:t>
      </w:r>
      <w:r w:rsidRPr="009C3AA9">
        <w:rPr>
          <w:sz w:val="28"/>
          <w:szCs w:val="28"/>
          <w:lang w:val="uk-UA"/>
        </w:rPr>
        <w:t xml:space="preserve">по </w:t>
      </w:r>
      <w:r>
        <w:rPr>
          <w:sz w:val="28"/>
          <w:szCs w:val="28"/>
          <w:lang w:val="uk-UA"/>
        </w:rPr>
        <w:t>СМА</w:t>
      </w:r>
      <w:r w:rsidR="00862A87">
        <w:rPr>
          <w:sz w:val="28"/>
          <w:szCs w:val="28"/>
          <w:lang w:val="uk-UA"/>
        </w:rPr>
        <w:t xml:space="preserve">, не є запорукою того, що </w:t>
      </w:r>
      <w:r w:rsidRPr="009C3AA9">
        <w:rPr>
          <w:sz w:val="28"/>
          <w:szCs w:val="28"/>
          <w:lang w:val="uk-UA"/>
        </w:rPr>
        <w:t xml:space="preserve"> на периферії на рівні капілярів в межах мікроциркуляторного русла </w:t>
      </w:r>
      <w:r w:rsidR="007034F8">
        <w:rPr>
          <w:sz w:val="28"/>
          <w:szCs w:val="28"/>
          <w:lang w:val="uk-UA"/>
        </w:rPr>
        <w:t>кровообіг</w:t>
      </w:r>
      <w:r w:rsidRPr="009C3AA9">
        <w:rPr>
          <w:sz w:val="28"/>
          <w:szCs w:val="28"/>
          <w:lang w:val="uk-UA"/>
        </w:rPr>
        <w:t xml:space="preserve"> є задовільним. Причиною цього явища, найчастіше буває капіляростаз та </w:t>
      </w:r>
      <w:r w:rsidR="00862A87">
        <w:rPr>
          <w:sz w:val="28"/>
          <w:szCs w:val="28"/>
          <w:lang w:val="uk-UA"/>
        </w:rPr>
        <w:t xml:space="preserve">сладж-феномен із подальшим </w:t>
      </w:r>
      <w:r w:rsidRPr="009C3AA9">
        <w:rPr>
          <w:sz w:val="28"/>
          <w:szCs w:val="28"/>
          <w:lang w:val="uk-UA"/>
        </w:rPr>
        <w:t xml:space="preserve"> тромбоутворенням. Тому доцільним є, поряд із оцінкою об’ємних гемодинамічних параметрів визначення змін кровоплину на рівні </w:t>
      </w:r>
      <w:r w:rsidRPr="009C3AA9">
        <w:rPr>
          <w:sz w:val="28"/>
          <w:szCs w:val="28"/>
          <w:lang w:val="uk-UA"/>
        </w:rPr>
        <w:lastRenderedPageBreak/>
        <w:t xml:space="preserve">мікроциркуляторного русла, тобто в капілярах. Це твердження стосується як САК так і ВМК. Так, введення у внутрішню капсулу головного мозку аутокрові із розрахунку 20 мкл/100 г маси, що відповідає ВМК середнього ступеня важкості і це було підтверджено при оцінці нами неврологічного дефіциту у попередній дослідній серії, супроводжується значним погіршенням мікроциркуляції в судинах кори головного мозку, які відносяться до басейну </w:t>
      </w:r>
      <w:r>
        <w:rPr>
          <w:sz w:val="28"/>
          <w:szCs w:val="28"/>
          <w:lang w:val="uk-UA"/>
        </w:rPr>
        <w:t>СМА</w:t>
      </w:r>
      <w:r w:rsidRPr="009C3AA9">
        <w:rPr>
          <w:sz w:val="28"/>
          <w:szCs w:val="28"/>
          <w:lang w:val="uk-UA"/>
        </w:rPr>
        <w:t>. На користь такого твердження вказує вірогідна, відносно початкового (фонового) рівня редукція значень коефіцієнту мікроциркуляції в середньому в 4,39 рази (табл. 4.2).</w:t>
      </w:r>
    </w:p>
    <w:p w:rsidR="00012F54" w:rsidRDefault="00012F54" w:rsidP="00B065B6">
      <w:pPr>
        <w:pStyle w:val="-1"/>
        <w:widowControl w:val="0"/>
        <w:spacing w:line="360" w:lineRule="auto"/>
        <w:ind w:firstLine="284"/>
        <w:rPr>
          <w:sz w:val="28"/>
          <w:szCs w:val="28"/>
          <w:lang w:val="uk-UA"/>
        </w:rPr>
      </w:pPr>
      <w:r w:rsidRPr="009C3AA9">
        <w:rPr>
          <w:sz w:val="28"/>
          <w:szCs w:val="28"/>
          <w:lang w:val="uk-UA"/>
        </w:rPr>
        <w:t>Аналогічні, однак ще більш виразні зміни у перфузії кори, відмічались на 4 добу САК. Так, в кінці досліду, коефіцієнт мікроциркуляції зменшився відносно початкових значень в середньому в 10,66 разу, р&lt;0,05 (табл. 4.3).Оскільки, як за умов ВМК, так і при САК, гострий період інсульту (4-та доба), характеризується рефлекторним церебровазоспазмом – цей феномен можна вважати провідною причиною у формуванні дефіциту перфузії мозку. Друга, по значимості причина – безпосереднє перетискання гематомою судин ззовні. Особливо, це має ве</w:t>
      </w:r>
      <w:r w:rsidR="00F761BB">
        <w:rPr>
          <w:sz w:val="28"/>
          <w:szCs w:val="28"/>
          <w:lang w:val="uk-UA"/>
        </w:rPr>
        <w:t>-</w:t>
      </w:r>
      <w:r w:rsidRPr="009C3AA9">
        <w:rPr>
          <w:sz w:val="28"/>
          <w:szCs w:val="28"/>
          <w:lang w:val="uk-UA"/>
        </w:rPr>
        <w:t xml:space="preserve">ликий сенс при САК, коли кров, яка потрапляє у </w:t>
      </w:r>
      <w:r>
        <w:rPr>
          <w:sz w:val="28"/>
          <w:szCs w:val="28"/>
          <w:lang w:val="uk-UA"/>
        </w:rPr>
        <w:t>САП</w:t>
      </w:r>
      <w:r w:rsidRPr="009C3AA9">
        <w:rPr>
          <w:sz w:val="28"/>
          <w:szCs w:val="28"/>
          <w:lang w:val="uk-UA"/>
        </w:rPr>
        <w:t>, розповсюджуючись та змі</w:t>
      </w:r>
      <w:r w:rsidR="00F761BB">
        <w:rPr>
          <w:sz w:val="28"/>
          <w:szCs w:val="28"/>
          <w:lang w:val="uk-UA"/>
        </w:rPr>
        <w:t>-</w:t>
      </w:r>
      <w:r w:rsidRPr="009C3AA9">
        <w:rPr>
          <w:sz w:val="28"/>
          <w:szCs w:val="28"/>
          <w:lang w:val="uk-UA"/>
        </w:rPr>
        <w:t>шуючись з ліквором, рівномірно тисне на кору та судини підпавутинного простору.Про ці фактори гіпоперфузії мова вже йшла у попередньому підрозд</w:t>
      </w:r>
      <w:r w:rsidR="0068193E">
        <w:rPr>
          <w:sz w:val="28"/>
          <w:szCs w:val="28"/>
          <w:lang w:val="uk-UA"/>
        </w:rPr>
        <w:t xml:space="preserve">ілі  4.1, вплив </w:t>
      </w:r>
      <w:r w:rsidRPr="009C3AA9">
        <w:rPr>
          <w:sz w:val="28"/>
          <w:szCs w:val="28"/>
          <w:lang w:val="uk-UA"/>
        </w:rPr>
        <w:t xml:space="preserve"> інших чинників, що погіршують мозковий кровоплин, таких як колапс центральної гемодинаміки та ескалація ВМК, ми детально охарактеризуємо нижче.</w:t>
      </w:r>
    </w:p>
    <w:p w:rsidR="00012F54" w:rsidRDefault="00012F54" w:rsidP="00B065B6">
      <w:pPr>
        <w:pStyle w:val="-1"/>
        <w:widowControl w:val="0"/>
        <w:spacing w:line="360" w:lineRule="auto"/>
        <w:ind w:firstLine="284"/>
        <w:rPr>
          <w:sz w:val="28"/>
          <w:szCs w:val="28"/>
          <w:lang w:val="uk-UA"/>
        </w:rPr>
      </w:pPr>
      <w:r w:rsidRPr="009C3AA9">
        <w:rPr>
          <w:sz w:val="28"/>
          <w:szCs w:val="28"/>
          <w:lang w:val="uk-UA"/>
        </w:rPr>
        <w:t xml:space="preserve">Курсова довеннаінфузія щурам із модельним </w:t>
      </w:r>
      <w:r w:rsidRPr="000A665E">
        <w:rPr>
          <w:color w:val="000000" w:themeColor="text1"/>
          <w:sz w:val="28"/>
          <w:szCs w:val="28"/>
          <w:lang w:val="uk-UA"/>
        </w:rPr>
        <w:t>В</w:t>
      </w:r>
      <w:r>
        <w:rPr>
          <w:color w:val="000000" w:themeColor="text1"/>
          <w:sz w:val="28"/>
          <w:szCs w:val="28"/>
          <w:lang w:val="uk-UA"/>
        </w:rPr>
        <w:t>ЧК</w:t>
      </w:r>
      <w:r w:rsidRPr="009C3AA9">
        <w:rPr>
          <w:sz w:val="28"/>
          <w:szCs w:val="28"/>
          <w:lang w:val="uk-UA"/>
        </w:rPr>
        <w:t xml:space="preserve"> 1,0 % розчину адемолу та референс-препарату німодипіну дозами відповідно 2 мг/кг та 30 мкг/кг, амортизувала падіння мозкової перфузії, стабілізуючи її рівень на коефіцієнтах мікроциркуляції в корі, більших за такі у групі контрольної патології в середньому в 3,99 та 2,76 рази (ВМК) і у 7,30 та 4,74 разу відповідно при САК, р&lt;0,05 (табл. 4.2 та 4.3).</w:t>
      </w:r>
    </w:p>
    <w:p w:rsidR="00012F54" w:rsidRDefault="00F761BB" w:rsidP="00F761BB">
      <w:pPr>
        <w:pStyle w:val="-1"/>
        <w:widowControl w:val="0"/>
        <w:spacing w:line="360" w:lineRule="auto"/>
        <w:ind w:firstLine="284"/>
        <w:rPr>
          <w:sz w:val="28"/>
          <w:szCs w:val="28"/>
          <w:lang w:val="uk-UA"/>
        </w:rPr>
        <w:sectPr w:rsidR="00012F54" w:rsidSect="00012F54">
          <w:pgSz w:w="11906" w:h="16838"/>
          <w:pgMar w:top="1134" w:right="567" w:bottom="1134" w:left="1134" w:header="708" w:footer="708" w:gutter="0"/>
          <w:cols w:space="708"/>
          <w:docGrid w:linePitch="360"/>
        </w:sectPr>
      </w:pPr>
      <w:r w:rsidRPr="009C3AA9">
        <w:rPr>
          <w:sz w:val="28"/>
          <w:szCs w:val="28"/>
          <w:lang w:val="uk-UA"/>
        </w:rPr>
        <w:t xml:space="preserve">Однак, значення коефіцієнту не доходили до вихідних рівнів, і були меншими відносно фону на тлі адемолу при ВМК або САК в середньому на 16,6 та 36,3 %, а при введенні німодипіну відповідно на 38,1, або 57,9 %, р&lt;0,05.При цьому, за обсягом стимулювальної дії на мікроциркуляцію в корі головного мозку басейну </w:t>
      </w:r>
      <w:r>
        <w:rPr>
          <w:sz w:val="28"/>
          <w:szCs w:val="28"/>
          <w:lang w:val="uk-UA"/>
        </w:rPr>
        <w:lastRenderedPageBreak/>
        <w:t>СМА</w:t>
      </w:r>
      <w:r w:rsidRPr="009C3AA9">
        <w:rPr>
          <w:sz w:val="28"/>
          <w:szCs w:val="28"/>
          <w:lang w:val="uk-UA"/>
        </w:rPr>
        <w:t>, адемол вірогідно переважав німодипін при ВМК в середньому в 1,44, а при САК в 1,54 разу відповідно</w:t>
      </w:r>
      <w:r w:rsidR="00406EAF">
        <w:rPr>
          <w:sz w:val="28"/>
          <w:szCs w:val="28"/>
          <w:lang w:val="uk-UA"/>
        </w:rPr>
        <w:t xml:space="preserve">. </w:t>
      </w:r>
      <w:r w:rsidR="00406EAF" w:rsidRPr="009C3AA9">
        <w:rPr>
          <w:sz w:val="28"/>
          <w:szCs w:val="28"/>
          <w:lang w:val="uk-UA"/>
        </w:rPr>
        <w:t xml:space="preserve">Отже, маємо наявний дисонанс: німодипін ліпше за адемол покращує об’ємний кровоплин по </w:t>
      </w:r>
      <w:r w:rsidR="00406EAF">
        <w:rPr>
          <w:sz w:val="28"/>
          <w:szCs w:val="28"/>
          <w:lang w:val="uk-UA"/>
        </w:rPr>
        <w:t>СМА.</w:t>
      </w:r>
    </w:p>
    <w:p w:rsidR="00012F54" w:rsidRPr="009C3AA9" w:rsidRDefault="00012F54" w:rsidP="00012F54">
      <w:pPr>
        <w:pStyle w:val="-1"/>
        <w:widowControl w:val="0"/>
        <w:spacing w:line="360" w:lineRule="auto"/>
        <w:ind w:firstLine="284"/>
        <w:jc w:val="right"/>
        <w:rPr>
          <w:sz w:val="28"/>
          <w:szCs w:val="28"/>
          <w:lang w:val="uk-UA"/>
        </w:rPr>
      </w:pPr>
      <w:r w:rsidRPr="009C3AA9">
        <w:rPr>
          <w:sz w:val="28"/>
          <w:szCs w:val="28"/>
          <w:lang w:val="uk-UA"/>
        </w:rPr>
        <w:lastRenderedPageBreak/>
        <w:t>Таблиця 4.2</w:t>
      </w:r>
    </w:p>
    <w:p w:rsidR="00012F54" w:rsidRDefault="00012F54" w:rsidP="00012F54">
      <w:pPr>
        <w:widowControl w:val="0"/>
        <w:spacing w:after="0" w:line="360" w:lineRule="auto"/>
        <w:ind w:firstLine="284"/>
        <w:jc w:val="center"/>
        <w:rPr>
          <w:rFonts w:ascii="Times New Roman" w:hAnsi="Times New Roman"/>
          <w:sz w:val="28"/>
          <w:szCs w:val="28"/>
          <w:lang w:val="uk-UA"/>
        </w:rPr>
      </w:pPr>
      <w:r w:rsidRPr="009C3AA9">
        <w:rPr>
          <w:rFonts w:ascii="Times New Roman" w:hAnsi="Times New Roman"/>
          <w:sz w:val="28"/>
          <w:szCs w:val="28"/>
          <w:lang w:val="uk-UA"/>
        </w:rPr>
        <w:t xml:space="preserve">Зміни показників мікроциркуляції та ступеня насичення крові </w:t>
      </w:r>
    </w:p>
    <w:p w:rsidR="00012F54" w:rsidRDefault="00012F54" w:rsidP="00012F54">
      <w:pPr>
        <w:widowControl w:val="0"/>
        <w:spacing w:after="0" w:line="360" w:lineRule="auto"/>
        <w:ind w:firstLine="284"/>
        <w:jc w:val="center"/>
        <w:rPr>
          <w:rFonts w:ascii="Times New Roman" w:hAnsi="Times New Roman"/>
          <w:sz w:val="28"/>
          <w:szCs w:val="28"/>
          <w:lang w:val="uk-UA"/>
        </w:rPr>
      </w:pPr>
      <w:r w:rsidRPr="009C3AA9">
        <w:rPr>
          <w:rFonts w:ascii="Times New Roman" w:hAnsi="Times New Roman"/>
          <w:sz w:val="28"/>
          <w:szCs w:val="28"/>
          <w:lang w:val="uk-UA"/>
        </w:rPr>
        <w:t xml:space="preserve">в капілярах кори головного мозку щурів із внутрішньомозковим крововиливом, рівні артеріального і центрального венозного тиску, а також величини ескалації внутрішньочерепного тиску на 4-ту добу терапії </w:t>
      </w:r>
    </w:p>
    <w:p w:rsidR="00012F54" w:rsidRDefault="00012F54" w:rsidP="00012F54">
      <w:pPr>
        <w:widowControl w:val="0"/>
        <w:spacing w:after="0" w:line="360" w:lineRule="auto"/>
        <w:ind w:firstLine="284"/>
        <w:jc w:val="center"/>
        <w:rPr>
          <w:rFonts w:ascii="Times New Roman" w:hAnsi="Times New Roman"/>
          <w:sz w:val="28"/>
          <w:szCs w:val="28"/>
          <w:lang w:val="uk-UA"/>
        </w:rPr>
      </w:pPr>
      <w:r w:rsidRPr="009C3AA9">
        <w:rPr>
          <w:rFonts w:ascii="Times New Roman" w:hAnsi="Times New Roman"/>
          <w:sz w:val="28"/>
          <w:szCs w:val="28"/>
          <w:lang w:val="uk-UA"/>
        </w:rPr>
        <w:t>геморагічного інсульту адемолом (2 мг/кг), або німодипіном (30 мкг/кг)</w:t>
      </w:r>
      <w:r>
        <w:rPr>
          <w:rFonts w:ascii="Times New Roman" w:hAnsi="Times New Roman"/>
          <w:sz w:val="28"/>
          <w:szCs w:val="28"/>
          <w:lang w:val="uk-UA"/>
        </w:rPr>
        <w:t xml:space="preserve">, </w:t>
      </w:r>
      <w:r w:rsidRPr="009C3AA9">
        <w:rPr>
          <w:rFonts w:ascii="Times New Roman" w:hAnsi="Times New Roman"/>
          <w:sz w:val="28"/>
          <w:szCs w:val="28"/>
          <w:lang w:val="uk-UA"/>
        </w:rPr>
        <w:t xml:space="preserve">М±m, </w:t>
      </w:r>
      <w:r w:rsidRPr="00047AD6">
        <w:rPr>
          <w:rFonts w:ascii="Times New Roman" w:hAnsi="Times New Roman"/>
          <w:sz w:val="28"/>
          <w:szCs w:val="28"/>
          <w:lang w:val="uk-UA"/>
        </w:rPr>
        <w:t>(n=7)</w:t>
      </w:r>
    </w:p>
    <w:p w:rsidR="00012F54" w:rsidRPr="009C3AA9" w:rsidRDefault="00012F54" w:rsidP="00012F54">
      <w:pPr>
        <w:widowControl w:val="0"/>
        <w:spacing w:after="0" w:line="240" w:lineRule="auto"/>
        <w:ind w:firstLine="284"/>
        <w:jc w:val="center"/>
        <w:rPr>
          <w:rFonts w:ascii="Times New Roman" w:hAnsi="Times New Roman"/>
          <w:sz w:val="28"/>
          <w:szCs w:val="28"/>
          <w:lang w:val="uk-UA"/>
        </w:rPr>
      </w:pPr>
    </w:p>
    <w:tbl>
      <w:tblPr>
        <w:tblW w:w="14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15"/>
        <w:gridCol w:w="2409"/>
        <w:gridCol w:w="2269"/>
        <w:gridCol w:w="2835"/>
        <w:gridCol w:w="2410"/>
      </w:tblGrid>
      <w:tr w:rsidR="00012F54" w:rsidRPr="009C3AA9" w:rsidTr="00012F54">
        <w:tc>
          <w:tcPr>
            <w:tcW w:w="4815"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Показники</w:t>
            </w:r>
          </w:p>
        </w:tc>
        <w:tc>
          <w:tcPr>
            <w:tcW w:w="240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Термін спостереження</w:t>
            </w:r>
            <w:r>
              <w:rPr>
                <w:rFonts w:ascii="Times New Roman" w:hAnsi="Times New Roman"/>
                <w:sz w:val="28"/>
                <w:szCs w:val="28"/>
                <w:lang w:val="uk-UA"/>
              </w:rPr>
              <w:t xml:space="preserve"> (доба)</w:t>
            </w:r>
          </w:p>
        </w:tc>
        <w:tc>
          <w:tcPr>
            <w:tcW w:w="226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0,9% розчин NaCl + ВМК (контрольна патологія)</w:t>
            </w:r>
          </w:p>
        </w:tc>
        <w:tc>
          <w:tcPr>
            <w:tcW w:w="2835"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А</w:t>
            </w:r>
            <w:r w:rsidRPr="009C3AA9">
              <w:rPr>
                <w:rFonts w:ascii="Times New Roman" w:hAnsi="Times New Roman"/>
                <w:sz w:val="28"/>
                <w:szCs w:val="28"/>
                <w:lang w:val="uk-UA"/>
              </w:rPr>
              <w:t>демол + ВМК</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Н</w:t>
            </w:r>
            <w:r w:rsidRPr="009C3AA9">
              <w:rPr>
                <w:rFonts w:ascii="Times New Roman" w:hAnsi="Times New Roman"/>
                <w:sz w:val="28"/>
                <w:szCs w:val="28"/>
                <w:lang w:val="uk-UA"/>
              </w:rPr>
              <w:t>імодипін + ВМК</w:t>
            </w:r>
          </w:p>
        </w:tc>
      </w:tr>
      <w:tr w:rsidR="00012F54" w:rsidRPr="009C3AA9" w:rsidTr="00012F54">
        <w:tc>
          <w:tcPr>
            <w:tcW w:w="4815" w:type="dxa"/>
            <w:vMerge w:val="restart"/>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r w:rsidRPr="009C3AA9">
              <w:rPr>
                <w:rFonts w:ascii="Times New Roman" w:hAnsi="Times New Roman"/>
                <w:sz w:val="28"/>
                <w:szCs w:val="28"/>
                <w:lang w:val="uk-UA"/>
              </w:rPr>
              <w:t>Коефіцієнт мікроциркуляції</w:t>
            </w:r>
            <w:r>
              <w:rPr>
                <w:rFonts w:ascii="Times New Roman" w:hAnsi="Times New Roman"/>
                <w:sz w:val="28"/>
                <w:szCs w:val="28"/>
                <w:lang w:val="uk-UA"/>
              </w:rPr>
              <w:t xml:space="preserve"> (</w:t>
            </w:r>
            <w:r w:rsidRPr="009C3AA9">
              <w:rPr>
                <w:rFonts w:ascii="Times New Roman" w:hAnsi="Times New Roman"/>
                <w:sz w:val="28"/>
                <w:szCs w:val="28"/>
                <w:lang w:val="uk-UA"/>
              </w:rPr>
              <w:t>у. о.</w:t>
            </w:r>
            <w:r>
              <w:rPr>
                <w:rFonts w:ascii="Times New Roman" w:hAnsi="Times New Roman"/>
                <w:sz w:val="28"/>
                <w:szCs w:val="28"/>
                <w:lang w:val="uk-UA"/>
              </w:rPr>
              <w:t>)</w:t>
            </w:r>
          </w:p>
        </w:tc>
        <w:tc>
          <w:tcPr>
            <w:tcW w:w="240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Фоновий рівень</w:t>
            </w:r>
          </w:p>
        </w:tc>
        <w:tc>
          <w:tcPr>
            <w:tcW w:w="226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11120,0±282,7</w:t>
            </w:r>
          </w:p>
        </w:tc>
        <w:tc>
          <w:tcPr>
            <w:tcW w:w="2835"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12084,0 ±403,4</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11294,5±290,1</w:t>
            </w:r>
          </w:p>
        </w:tc>
      </w:tr>
      <w:tr w:rsidR="00012F54" w:rsidRPr="009C3AA9" w:rsidTr="00012F54">
        <w:tc>
          <w:tcPr>
            <w:tcW w:w="4815" w:type="dxa"/>
            <w:vMerge/>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p>
        </w:tc>
        <w:tc>
          <w:tcPr>
            <w:tcW w:w="240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4</w:t>
            </w:r>
          </w:p>
        </w:tc>
        <w:tc>
          <w:tcPr>
            <w:tcW w:w="226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2529,8±70,8*</w:t>
            </w:r>
          </w:p>
        </w:tc>
        <w:tc>
          <w:tcPr>
            <w:tcW w:w="2835"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10081,5±177,4*#</w:t>
            </w:r>
            <w:r w:rsidRPr="009C3AA9">
              <w:rPr>
                <w:rFonts w:ascii="Times New Roman" w:hAnsi="Times New Roman"/>
                <w:sz w:val="28"/>
                <w:szCs w:val="28"/>
                <w:vertAlign w:val="superscript"/>
                <w:lang w:val="uk-UA"/>
              </w:rPr>
              <w:t>α</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6985,7±240,1*#</w:t>
            </w:r>
          </w:p>
        </w:tc>
      </w:tr>
      <w:tr w:rsidR="00012F54" w:rsidRPr="009C3AA9" w:rsidTr="00012F54">
        <w:tc>
          <w:tcPr>
            <w:tcW w:w="4815" w:type="dxa"/>
            <w:vMerge w:val="restart"/>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r w:rsidRPr="009C3AA9">
              <w:rPr>
                <w:rFonts w:ascii="Times New Roman" w:hAnsi="Times New Roman"/>
                <w:sz w:val="28"/>
                <w:szCs w:val="28"/>
                <w:lang w:val="uk-UA"/>
              </w:rPr>
              <w:t xml:space="preserve">АТ </w:t>
            </w:r>
            <w:r>
              <w:rPr>
                <w:rFonts w:ascii="Times New Roman" w:hAnsi="Times New Roman"/>
                <w:sz w:val="28"/>
                <w:szCs w:val="28"/>
                <w:lang w:val="uk-UA"/>
              </w:rPr>
              <w:t>(</w:t>
            </w:r>
            <w:r w:rsidRPr="009C3AA9">
              <w:rPr>
                <w:rFonts w:ascii="Times New Roman" w:hAnsi="Times New Roman"/>
                <w:sz w:val="28"/>
                <w:szCs w:val="28"/>
                <w:lang w:val="uk-UA"/>
              </w:rPr>
              <w:t>мм. рт. ст</w:t>
            </w:r>
            <w:r>
              <w:rPr>
                <w:rFonts w:ascii="Times New Roman" w:hAnsi="Times New Roman"/>
                <w:sz w:val="28"/>
                <w:szCs w:val="28"/>
                <w:lang w:val="uk-UA"/>
              </w:rPr>
              <w:t>.)</w:t>
            </w:r>
          </w:p>
        </w:tc>
        <w:tc>
          <w:tcPr>
            <w:tcW w:w="240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Фоновий рівень</w:t>
            </w:r>
          </w:p>
        </w:tc>
        <w:tc>
          <w:tcPr>
            <w:tcW w:w="226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120,8±2,3</w:t>
            </w:r>
          </w:p>
        </w:tc>
        <w:tc>
          <w:tcPr>
            <w:tcW w:w="2835"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119,5±2,4</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118,0±1,1</w:t>
            </w:r>
          </w:p>
        </w:tc>
      </w:tr>
      <w:tr w:rsidR="00012F54" w:rsidRPr="009C3AA9" w:rsidTr="00012F54">
        <w:tc>
          <w:tcPr>
            <w:tcW w:w="4815" w:type="dxa"/>
            <w:vMerge/>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p>
        </w:tc>
        <w:tc>
          <w:tcPr>
            <w:tcW w:w="240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4</w:t>
            </w:r>
          </w:p>
        </w:tc>
        <w:tc>
          <w:tcPr>
            <w:tcW w:w="226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78,5±0,4*</w:t>
            </w:r>
          </w:p>
        </w:tc>
        <w:tc>
          <w:tcPr>
            <w:tcW w:w="2835"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b/>
                <w:sz w:val="28"/>
                <w:szCs w:val="28"/>
                <w:lang w:val="uk-UA"/>
              </w:rPr>
            </w:pPr>
            <w:r w:rsidRPr="009C3AA9">
              <w:rPr>
                <w:rFonts w:ascii="Times New Roman" w:hAnsi="Times New Roman"/>
                <w:sz w:val="28"/>
                <w:szCs w:val="28"/>
                <w:lang w:val="uk-UA"/>
              </w:rPr>
              <w:t>112,0±2,8#</w:t>
            </w:r>
            <w:r w:rsidRPr="009C3AA9">
              <w:rPr>
                <w:rFonts w:ascii="Times New Roman" w:hAnsi="Times New Roman"/>
                <w:sz w:val="28"/>
                <w:szCs w:val="28"/>
                <w:vertAlign w:val="superscript"/>
                <w:lang w:val="uk-UA"/>
              </w:rPr>
              <w:t xml:space="preserve"> α</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90,2±1,4*#</w:t>
            </w:r>
          </w:p>
        </w:tc>
      </w:tr>
      <w:tr w:rsidR="00012F54" w:rsidRPr="009C3AA9" w:rsidTr="00012F54">
        <w:tc>
          <w:tcPr>
            <w:tcW w:w="4815" w:type="dxa"/>
            <w:vMerge w:val="restart"/>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r w:rsidRPr="009C3AA9">
              <w:rPr>
                <w:rFonts w:ascii="Times New Roman" w:hAnsi="Times New Roman"/>
                <w:sz w:val="28"/>
                <w:szCs w:val="28"/>
                <w:lang w:val="uk-UA"/>
              </w:rPr>
              <w:t xml:space="preserve">ЦВТ </w:t>
            </w:r>
            <w:r>
              <w:rPr>
                <w:rFonts w:ascii="Times New Roman" w:hAnsi="Times New Roman"/>
                <w:sz w:val="28"/>
                <w:szCs w:val="28"/>
                <w:lang w:val="uk-UA"/>
              </w:rPr>
              <w:t>(</w:t>
            </w:r>
            <w:r w:rsidRPr="009C3AA9">
              <w:rPr>
                <w:rFonts w:ascii="Times New Roman" w:hAnsi="Times New Roman"/>
                <w:sz w:val="28"/>
                <w:szCs w:val="28"/>
                <w:lang w:val="uk-UA"/>
              </w:rPr>
              <w:t>мм вод. ст.</w:t>
            </w:r>
            <w:r>
              <w:rPr>
                <w:rFonts w:ascii="Times New Roman" w:hAnsi="Times New Roman"/>
                <w:sz w:val="28"/>
                <w:szCs w:val="28"/>
                <w:lang w:val="uk-UA"/>
              </w:rPr>
              <w:t>)</w:t>
            </w:r>
          </w:p>
        </w:tc>
        <w:tc>
          <w:tcPr>
            <w:tcW w:w="240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Фоновий рівень</w:t>
            </w:r>
          </w:p>
        </w:tc>
        <w:tc>
          <w:tcPr>
            <w:tcW w:w="226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80,5±1,0</w:t>
            </w:r>
          </w:p>
        </w:tc>
        <w:tc>
          <w:tcPr>
            <w:tcW w:w="2835"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83,3±1,3</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84,7±0,8</w:t>
            </w:r>
          </w:p>
        </w:tc>
      </w:tr>
      <w:tr w:rsidR="00012F54" w:rsidRPr="009C3AA9" w:rsidTr="00012F54">
        <w:tc>
          <w:tcPr>
            <w:tcW w:w="4815" w:type="dxa"/>
            <w:vMerge/>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p>
        </w:tc>
        <w:tc>
          <w:tcPr>
            <w:tcW w:w="240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4</w:t>
            </w:r>
          </w:p>
        </w:tc>
        <w:tc>
          <w:tcPr>
            <w:tcW w:w="226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53,8±1,0*</w:t>
            </w:r>
          </w:p>
        </w:tc>
        <w:tc>
          <w:tcPr>
            <w:tcW w:w="2835"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81,3±1,0#</w:t>
            </w:r>
            <w:r w:rsidRPr="009C3AA9">
              <w:rPr>
                <w:rFonts w:ascii="Times New Roman" w:hAnsi="Times New Roman"/>
                <w:sz w:val="28"/>
                <w:szCs w:val="28"/>
                <w:vertAlign w:val="superscript"/>
                <w:lang w:val="uk-UA"/>
              </w:rPr>
              <w:t xml:space="preserve"> α</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76,3±0,8*#</w:t>
            </w:r>
          </w:p>
        </w:tc>
      </w:tr>
      <w:tr w:rsidR="00012F54" w:rsidRPr="009C3AA9" w:rsidTr="00012F54">
        <w:tc>
          <w:tcPr>
            <w:tcW w:w="4815" w:type="dxa"/>
            <w:vMerge w:val="restart"/>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r w:rsidRPr="009C3AA9">
              <w:rPr>
                <w:rFonts w:ascii="Times New Roman" w:hAnsi="Times New Roman"/>
                <w:sz w:val="28"/>
                <w:szCs w:val="28"/>
                <w:lang w:val="uk-UA"/>
              </w:rPr>
              <w:t>SaO</w:t>
            </w:r>
            <w:r w:rsidRPr="009C3AA9">
              <w:rPr>
                <w:rFonts w:ascii="Times New Roman" w:hAnsi="Times New Roman"/>
                <w:sz w:val="28"/>
                <w:szCs w:val="28"/>
                <w:vertAlign w:val="subscript"/>
                <w:lang w:val="uk-UA"/>
              </w:rPr>
              <w:t>2</w:t>
            </w:r>
            <w:r>
              <w:rPr>
                <w:rFonts w:ascii="Times New Roman" w:hAnsi="Times New Roman"/>
                <w:sz w:val="28"/>
                <w:szCs w:val="28"/>
                <w:lang w:val="uk-UA"/>
              </w:rPr>
              <w:t>(</w:t>
            </w:r>
            <w:r w:rsidRPr="009C3AA9">
              <w:rPr>
                <w:rFonts w:ascii="Times New Roman" w:hAnsi="Times New Roman"/>
                <w:sz w:val="28"/>
                <w:szCs w:val="28"/>
                <w:lang w:val="uk-UA"/>
              </w:rPr>
              <w:t>%</w:t>
            </w:r>
            <w:r>
              <w:rPr>
                <w:rFonts w:ascii="Times New Roman" w:hAnsi="Times New Roman"/>
                <w:sz w:val="28"/>
                <w:szCs w:val="28"/>
                <w:lang w:val="uk-UA"/>
              </w:rPr>
              <w:t>)</w:t>
            </w:r>
          </w:p>
        </w:tc>
        <w:tc>
          <w:tcPr>
            <w:tcW w:w="240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Фоновий рівень</w:t>
            </w:r>
          </w:p>
        </w:tc>
        <w:tc>
          <w:tcPr>
            <w:tcW w:w="226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98,3±0,4</w:t>
            </w:r>
          </w:p>
        </w:tc>
        <w:tc>
          <w:tcPr>
            <w:tcW w:w="2835"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97,9±0,5</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98,1±0,5</w:t>
            </w:r>
          </w:p>
        </w:tc>
      </w:tr>
      <w:tr w:rsidR="00012F54" w:rsidRPr="009C3AA9" w:rsidTr="00012F54">
        <w:tc>
          <w:tcPr>
            <w:tcW w:w="4815" w:type="dxa"/>
            <w:vMerge/>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p>
        </w:tc>
        <w:tc>
          <w:tcPr>
            <w:tcW w:w="240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4</w:t>
            </w:r>
          </w:p>
        </w:tc>
        <w:tc>
          <w:tcPr>
            <w:tcW w:w="2269"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74,0±1,2*</w:t>
            </w:r>
          </w:p>
        </w:tc>
        <w:tc>
          <w:tcPr>
            <w:tcW w:w="2835"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90,7±0,4*#</w:t>
            </w:r>
            <w:r w:rsidRPr="009C3AA9">
              <w:rPr>
                <w:rFonts w:ascii="Times New Roman" w:hAnsi="Times New Roman"/>
                <w:sz w:val="28"/>
                <w:szCs w:val="28"/>
                <w:vertAlign w:val="superscript"/>
                <w:lang w:val="uk-UA"/>
              </w:rPr>
              <w:t xml:space="preserve"> α</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84,3±0,6*#</w:t>
            </w:r>
          </w:p>
        </w:tc>
      </w:tr>
    </w:tbl>
    <w:p w:rsidR="00012F54" w:rsidRDefault="00012F54" w:rsidP="00012F54">
      <w:pPr>
        <w:pStyle w:val="-1"/>
        <w:widowControl w:val="0"/>
        <w:spacing w:line="360" w:lineRule="auto"/>
        <w:ind w:firstLine="284"/>
        <w:rPr>
          <w:sz w:val="28"/>
          <w:szCs w:val="28"/>
          <w:lang w:val="uk-UA"/>
        </w:rPr>
      </w:pPr>
    </w:p>
    <w:p w:rsidR="00012F54" w:rsidRDefault="00012F54" w:rsidP="00012F54">
      <w:pPr>
        <w:pStyle w:val="-1"/>
        <w:widowControl w:val="0"/>
        <w:spacing w:line="360" w:lineRule="auto"/>
        <w:ind w:firstLine="284"/>
        <w:rPr>
          <w:sz w:val="28"/>
          <w:szCs w:val="28"/>
          <w:lang w:val="uk-UA"/>
        </w:rPr>
      </w:pPr>
      <w:r w:rsidRPr="009C3AA9">
        <w:rPr>
          <w:sz w:val="28"/>
          <w:szCs w:val="28"/>
          <w:lang w:val="uk-UA"/>
        </w:rPr>
        <w:t>Примітк</w:t>
      </w:r>
      <w:r>
        <w:rPr>
          <w:sz w:val="28"/>
          <w:szCs w:val="28"/>
          <w:lang w:val="uk-UA"/>
        </w:rPr>
        <w:t>и</w:t>
      </w:r>
      <w:r w:rsidRPr="009C3AA9">
        <w:rPr>
          <w:sz w:val="28"/>
          <w:szCs w:val="28"/>
          <w:lang w:val="uk-UA"/>
        </w:rPr>
        <w:t xml:space="preserve">: </w:t>
      </w:r>
    </w:p>
    <w:p w:rsidR="00012F54" w:rsidRDefault="00012F54" w:rsidP="00012F54">
      <w:pPr>
        <w:pStyle w:val="-1"/>
        <w:widowControl w:val="0"/>
        <w:numPr>
          <w:ilvl w:val="0"/>
          <w:numId w:val="16"/>
        </w:numPr>
        <w:spacing w:line="360" w:lineRule="auto"/>
        <w:ind w:left="0" w:firstLine="284"/>
        <w:rPr>
          <w:sz w:val="28"/>
          <w:szCs w:val="28"/>
          <w:lang w:val="uk-UA"/>
        </w:rPr>
      </w:pPr>
      <w:r w:rsidRPr="009C3AA9">
        <w:rPr>
          <w:sz w:val="28"/>
          <w:szCs w:val="28"/>
          <w:lang w:val="uk-UA"/>
        </w:rPr>
        <w:t xml:space="preserve">* – р&lt;0,05 щодо фонового рівня; </w:t>
      </w:r>
    </w:p>
    <w:p w:rsidR="00012F54" w:rsidRDefault="00012F54" w:rsidP="00012F54">
      <w:pPr>
        <w:pStyle w:val="-1"/>
        <w:widowControl w:val="0"/>
        <w:numPr>
          <w:ilvl w:val="0"/>
          <w:numId w:val="16"/>
        </w:numPr>
        <w:spacing w:line="360" w:lineRule="auto"/>
        <w:ind w:left="0" w:firstLine="284"/>
        <w:rPr>
          <w:sz w:val="28"/>
          <w:szCs w:val="28"/>
          <w:lang w:val="uk-UA"/>
        </w:rPr>
      </w:pPr>
      <w:r w:rsidRPr="009C3AA9">
        <w:rPr>
          <w:sz w:val="28"/>
          <w:szCs w:val="28"/>
          <w:lang w:val="uk-UA"/>
        </w:rPr>
        <w:t xml:space="preserve"># – р&lt;0,05 щодо групи контрольної патології; </w:t>
      </w:r>
    </w:p>
    <w:p w:rsidR="00012F54" w:rsidRPr="00047AD6" w:rsidRDefault="00012F54" w:rsidP="00012F54">
      <w:pPr>
        <w:pStyle w:val="-1"/>
        <w:widowControl w:val="0"/>
        <w:numPr>
          <w:ilvl w:val="0"/>
          <w:numId w:val="16"/>
        </w:numPr>
        <w:spacing w:line="360" w:lineRule="auto"/>
        <w:ind w:left="0" w:firstLine="284"/>
        <w:rPr>
          <w:sz w:val="28"/>
          <w:szCs w:val="28"/>
          <w:lang w:val="uk-UA"/>
        </w:rPr>
      </w:pPr>
      <w:r w:rsidRPr="000B6BFA">
        <w:rPr>
          <w:sz w:val="28"/>
          <w:szCs w:val="28"/>
          <w:lang w:val="uk-UA"/>
        </w:rPr>
        <w:t>α – р&lt;0</w:t>
      </w:r>
      <w:r w:rsidRPr="00047AD6">
        <w:rPr>
          <w:sz w:val="28"/>
          <w:szCs w:val="28"/>
          <w:lang w:val="uk-UA"/>
        </w:rPr>
        <w:t>,05 щодо німодипіну</w:t>
      </w:r>
      <w:r>
        <w:rPr>
          <w:sz w:val="28"/>
          <w:szCs w:val="28"/>
          <w:lang w:val="uk-UA"/>
        </w:rPr>
        <w:t>;</w:t>
      </w:r>
    </w:p>
    <w:p w:rsidR="00012F54" w:rsidRPr="007C4A6C" w:rsidRDefault="00012F54" w:rsidP="00012F54">
      <w:pPr>
        <w:pStyle w:val="a5"/>
        <w:widowControl w:val="0"/>
        <w:numPr>
          <w:ilvl w:val="0"/>
          <w:numId w:val="16"/>
        </w:numPr>
        <w:tabs>
          <w:tab w:val="left" w:pos="851"/>
        </w:tabs>
        <w:spacing w:after="160" w:line="259" w:lineRule="auto"/>
        <w:ind w:hanging="785"/>
        <w:rPr>
          <w:rFonts w:ascii="Times New Roman" w:hAnsi="Times New Roman"/>
          <w:sz w:val="28"/>
          <w:szCs w:val="28"/>
          <w:lang w:val="uk-UA"/>
        </w:rPr>
      </w:pPr>
      <w:r w:rsidRPr="007C4A6C">
        <w:rPr>
          <w:rFonts w:ascii="Times New Roman" w:hAnsi="Times New Roman"/>
          <w:sz w:val="28"/>
          <w:szCs w:val="28"/>
          <w:lang w:val="en-US"/>
        </w:rPr>
        <w:t>n</w:t>
      </w:r>
      <w:r w:rsidRPr="007C4A6C">
        <w:rPr>
          <w:rFonts w:ascii="Times New Roman" w:hAnsi="Times New Roman"/>
          <w:sz w:val="28"/>
          <w:szCs w:val="28"/>
        </w:rPr>
        <w:t xml:space="preserve"> –</w:t>
      </w:r>
      <w:r w:rsidRPr="007C4A6C">
        <w:rPr>
          <w:rFonts w:ascii="Times New Roman" w:hAnsi="Times New Roman"/>
          <w:sz w:val="28"/>
          <w:szCs w:val="28"/>
          <w:lang w:val="uk-UA"/>
        </w:rPr>
        <w:t xml:space="preserve"> кількість тварин в групі.</w:t>
      </w:r>
      <w:r w:rsidRPr="007C4A6C">
        <w:rPr>
          <w:sz w:val="28"/>
          <w:szCs w:val="28"/>
          <w:lang w:val="uk-UA"/>
        </w:rPr>
        <w:br w:type="page"/>
      </w:r>
    </w:p>
    <w:p w:rsidR="00012F54" w:rsidRPr="009C3AA9" w:rsidRDefault="00012F54" w:rsidP="00012F54">
      <w:pPr>
        <w:widowControl w:val="0"/>
        <w:spacing w:line="240" w:lineRule="auto"/>
        <w:ind w:firstLine="284"/>
        <w:jc w:val="right"/>
        <w:rPr>
          <w:rFonts w:ascii="Times New Roman" w:hAnsi="Times New Roman"/>
          <w:sz w:val="28"/>
          <w:szCs w:val="28"/>
          <w:lang w:val="uk-UA"/>
        </w:rPr>
      </w:pPr>
      <w:r w:rsidRPr="009C3AA9">
        <w:rPr>
          <w:rFonts w:ascii="Times New Roman" w:hAnsi="Times New Roman"/>
          <w:sz w:val="28"/>
          <w:szCs w:val="28"/>
          <w:lang w:val="uk-UA"/>
        </w:rPr>
        <w:lastRenderedPageBreak/>
        <w:t>Таблиця 4.3</w:t>
      </w:r>
    </w:p>
    <w:p w:rsidR="00012F54" w:rsidRDefault="00012F54" w:rsidP="00012F54">
      <w:pPr>
        <w:widowControl w:val="0"/>
        <w:spacing w:after="0" w:line="360" w:lineRule="auto"/>
        <w:ind w:firstLine="284"/>
        <w:jc w:val="center"/>
        <w:rPr>
          <w:rFonts w:ascii="Times New Roman" w:hAnsi="Times New Roman"/>
          <w:sz w:val="28"/>
          <w:szCs w:val="28"/>
          <w:lang w:val="uk-UA"/>
        </w:rPr>
      </w:pPr>
      <w:r w:rsidRPr="009C3AA9">
        <w:rPr>
          <w:rFonts w:ascii="Times New Roman" w:hAnsi="Times New Roman"/>
          <w:sz w:val="28"/>
          <w:szCs w:val="28"/>
          <w:lang w:val="uk-UA"/>
        </w:rPr>
        <w:t xml:space="preserve">Зміни показників мікроциркуляції та ступеня насичення крові в капілярах кори головного мозку щурів </w:t>
      </w:r>
    </w:p>
    <w:p w:rsidR="00012F54" w:rsidRDefault="00012F54" w:rsidP="00012F54">
      <w:pPr>
        <w:widowControl w:val="0"/>
        <w:spacing w:after="0" w:line="360" w:lineRule="auto"/>
        <w:ind w:firstLine="284"/>
        <w:jc w:val="center"/>
        <w:rPr>
          <w:rFonts w:ascii="Times New Roman" w:hAnsi="Times New Roman"/>
          <w:sz w:val="28"/>
          <w:szCs w:val="28"/>
          <w:lang w:val="uk-UA"/>
        </w:rPr>
      </w:pPr>
      <w:r w:rsidRPr="00047AD6">
        <w:rPr>
          <w:rFonts w:ascii="Times New Roman" w:hAnsi="Times New Roman"/>
          <w:sz w:val="28"/>
          <w:szCs w:val="28"/>
          <w:lang w:val="uk-UA"/>
        </w:rPr>
        <w:t>із субарахноїдальним крововиливом, рівні артеріального і центрального венозного тиску на 4-ту добу терапії геморагічного інсульту адемолом (2 мг/кг) або німодипіном (30 мкг/кг), М±m (n=7)</w:t>
      </w:r>
    </w:p>
    <w:p w:rsidR="00012F54" w:rsidRPr="009C3AA9" w:rsidRDefault="00012F54" w:rsidP="00012F54">
      <w:pPr>
        <w:widowControl w:val="0"/>
        <w:spacing w:after="0" w:line="240" w:lineRule="auto"/>
        <w:ind w:firstLine="284"/>
        <w:jc w:val="center"/>
        <w:rPr>
          <w:rFonts w:ascii="Times New Roman" w:hAnsi="Times New Roman"/>
          <w:sz w:val="28"/>
          <w:szCs w:val="28"/>
          <w:lang w:val="uk-UA"/>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15"/>
        <w:gridCol w:w="2835"/>
        <w:gridCol w:w="2410"/>
        <w:gridCol w:w="2551"/>
        <w:gridCol w:w="2268"/>
      </w:tblGrid>
      <w:tr w:rsidR="00012F54" w:rsidRPr="009C3AA9" w:rsidTr="00012F54">
        <w:tc>
          <w:tcPr>
            <w:tcW w:w="4815"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Показники</w:t>
            </w:r>
          </w:p>
        </w:tc>
        <w:tc>
          <w:tcPr>
            <w:tcW w:w="2835" w:type="dxa"/>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Термін спостереження</w:t>
            </w:r>
            <w:r>
              <w:rPr>
                <w:rFonts w:ascii="Times New Roman" w:hAnsi="Times New Roman"/>
                <w:sz w:val="28"/>
                <w:szCs w:val="28"/>
                <w:lang w:val="uk-UA"/>
              </w:rPr>
              <w:t xml:space="preserve"> (доба)</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0,9% розчин NaCl + САК (контрольна патологія)</w:t>
            </w:r>
          </w:p>
        </w:tc>
        <w:tc>
          <w:tcPr>
            <w:tcW w:w="2551"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А</w:t>
            </w:r>
            <w:r w:rsidRPr="009C3AA9">
              <w:rPr>
                <w:rFonts w:ascii="Times New Roman" w:hAnsi="Times New Roman"/>
                <w:sz w:val="28"/>
                <w:szCs w:val="28"/>
                <w:lang w:val="uk-UA"/>
              </w:rPr>
              <w:t>демол + САК</w:t>
            </w:r>
          </w:p>
        </w:tc>
        <w:tc>
          <w:tcPr>
            <w:tcW w:w="2268"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Н</w:t>
            </w:r>
            <w:r w:rsidRPr="009C3AA9">
              <w:rPr>
                <w:rFonts w:ascii="Times New Roman" w:hAnsi="Times New Roman"/>
                <w:sz w:val="28"/>
                <w:szCs w:val="28"/>
                <w:lang w:val="uk-UA"/>
              </w:rPr>
              <w:t>імодипін + САК</w:t>
            </w:r>
          </w:p>
        </w:tc>
      </w:tr>
      <w:tr w:rsidR="00012F54" w:rsidRPr="009C3AA9" w:rsidTr="00012F54">
        <w:tc>
          <w:tcPr>
            <w:tcW w:w="4815" w:type="dxa"/>
            <w:vMerge w:val="restart"/>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r w:rsidRPr="009C3AA9">
              <w:rPr>
                <w:rFonts w:ascii="Times New Roman" w:hAnsi="Times New Roman"/>
                <w:sz w:val="28"/>
                <w:szCs w:val="28"/>
                <w:lang w:val="uk-UA"/>
              </w:rPr>
              <w:t>Коефіцієнт мікроциркуляції</w:t>
            </w:r>
            <w:r>
              <w:rPr>
                <w:rFonts w:ascii="Times New Roman" w:hAnsi="Times New Roman"/>
                <w:sz w:val="28"/>
                <w:szCs w:val="28"/>
                <w:lang w:val="uk-UA"/>
              </w:rPr>
              <w:t xml:space="preserve"> (</w:t>
            </w:r>
            <w:r w:rsidRPr="009C3AA9">
              <w:rPr>
                <w:rFonts w:ascii="Times New Roman" w:hAnsi="Times New Roman"/>
                <w:sz w:val="28"/>
                <w:szCs w:val="28"/>
                <w:lang w:val="uk-UA"/>
              </w:rPr>
              <w:t>у. о.</w:t>
            </w:r>
            <w:r>
              <w:rPr>
                <w:rFonts w:ascii="Times New Roman" w:hAnsi="Times New Roman"/>
                <w:sz w:val="28"/>
                <w:szCs w:val="28"/>
                <w:lang w:val="uk-UA"/>
              </w:rPr>
              <w:t>)</w:t>
            </w:r>
          </w:p>
        </w:tc>
        <w:tc>
          <w:tcPr>
            <w:tcW w:w="2835" w:type="dxa"/>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Фоновий рівень</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11118,0±291,7</w:t>
            </w:r>
          </w:p>
        </w:tc>
        <w:tc>
          <w:tcPr>
            <w:tcW w:w="2551"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11946,6 ±403,4</w:t>
            </w:r>
          </w:p>
        </w:tc>
        <w:tc>
          <w:tcPr>
            <w:tcW w:w="2268"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11715,1±293,0</w:t>
            </w:r>
          </w:p>
        </w:tc>
      </w:tr>
      <w:tr w:rsidR="00012F54" w:rsidRPr="009C3AA9" w:rsidTr="00012F54">
        <w:tc>
          <w:tcPr>
            <w:tcW w:w="4815" w:type="dxa"/>
            <w:vMerge/>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p>
        </w:tc>
        <w:tc>
          <w:tcPr>
            <w:tcW w:w="2835" w:type="dxa"/>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4</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1042,0±45,4*</w:t>
            </w:r>
          </w:p>
        </w:tc>
        <w:tc>
          <w:tcPr>
            <w:tcW w:w="2551"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7607,1±121,1*#</w:t>
            </w:r>
            <w:r w:rsidRPr="009C3AA9">
              <w:rPr>
                <w:rFonts w:ascii="Times New Roman" w:hAnsi="Times New Roman"/>
                <w:sz w:val="28"/>
                <w:szCs w:val="28"/>
                <w:vertAlign w:val="superscript"/>
                <w:lang w:val="uk-UA"/>
              </w:rPr>
              <w:t xml:space="preserve"> α</w:t>
            </w:r>
          </w:p>
        </w:tc>
        <w:tc>
          <w:tcPr>
            <w:tcW w:w="2268"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4937,0±58,6*#</w:t>
            </w:r>
          </w:p>
        </w:tc>
      </w:tr>
      <w:tr w:rsidR="00012F54" w:rsidRPr="009C3AA9" w:rsidTr="00012F54">
        <w:tc>
          <w:tcPr>
            <w:tcW w:w="4815" w:type="dxa"/>
            <w:vMerge w:val="restart"/>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r w:rsidRPr="009C3AA9">
              <w:rPr>
                <w:rFonts w:ascii="Times New Roman" w:hAnsi="Times New Roman"/>
                <w:sz w:val="28"/>
                <w:szCs w:val="28"/>
                <w:lang w:val="uk-UA"/>
              </w:rPr>
              <w:t xml:space="preserve">АТ </w:t>
            </w:r>
            <w:r>
              <w:rPr>
                <w:rFonts w:ascii="Times New Roman" w:hAnsi="Times New Roman"/>
                <w:sz w:val="28"/>
                <w:szCs w:val="28"/>
                <w:lang w:val="uk-UA"/>
              </w:rPr>
              <w:t>(</w:t>
            </w:r>
            <w:r w:rsidRPr="009C3AA9">
              <w:rPr>
                <w:rFonts w:ascii="Times New Roman" w:hAnsi="Times New Roman"/>
                <w:sz w:val="28"/>
                <w:szCs w:val="28"/>
                <w:lang w:val="uk-UA"/>
              </w:rPr>
              <w:t>мм. рт. ст</w:t>
            </w:r>
            <w:r>
              <w:rPr>
                <w:rFonts w:ascii="Times New Roman" w:hAnsi="Times New Roman"/>
                <w:sz w:val="28"/>
                <w:szCs w:val="28"/>
                <w:lang w:val="uk-UA"/>
              </w:rPr>
              <w:t>.)</w:t>
            </w:r>
          </w:p>
        </w:tc>
        <w:tc>
          <w:tcPr>
            <w:tcW w:w="2835" w:type="dxa"/>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Фоновий рівень</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118,7±1,6</w:t>
            </w:r>
          </w:p>
        </w:tc>
        <w:tc>
          <w:tcPr>
            <w:tcW w:w="2551"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120,3±2,3</w:t>
            </w:r>
          </w:p>
        </w:tc>
        <w:tc>
          <w:tcPr>
            <w:tcW w:w="2268"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120,1±1,1</w:t>
            </w:r>
          </w:p>
        </w:tc>
      </w:tr>
      <w:tr w:rsidR="00012F54" w:rsidRPr="009C3AA9" w:rsidTr="00012F54">
        <w:tc>
          <w:tcPr>
            <w:tcW w:w="4815" w:type="dxa"/>
            <w:vMerge/>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p>
        </w:tc>
        <w:tc>
          <w:tcPr>
            <w:tcW w:w="2835" w:type="dxa"/>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4</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62,3±1,1*</w:t>
            </w:r>
          </w:p>
        </w:tc>
        <w:tc>
          <w:tcPr>
            <w:tcW w:w="2551"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b/>
                <w:sz w:val="28"/>
                <w:szCs w:val="28"/>
                <w:lang w:val="uk-UA"/>
              </w:rPr>
            </w:pPr>
            <w:r w:rsidRPr="009C3AA9">
              <w:rPr>
                <w:rFonts w:ascii="Times New Roman" w:hAnsi="Times New Roman"/>
                <w:sz w:val="28"/>
                <w:szCs w:val="28"/>
                <w:lang w:val="uk-UA"/>
              </w:rPr>
              <w:t>115,3±1,4#</w:t>
            </w:r>
            <w:r w:rsidRPr="009C3AA9">
              <w:rPr>
                <w:rFonts w:ascii="Times New Roman" w:hAnsi="Times New Roman"/>
                <w:sz w:val="28"/>
                <w:szCs w:val="28"/>
                <w:vertAlign w:val="superscript"/>
                <w:lang w:val="uk-UA"/>
              </w:rPr>
              <w:t xml:space="preserve"> α</w:t>
            </w:r>
          </w:p>
        </w:tc>
        <w:tc>
          <w:tcPr>
            <w:tcW w:w="2268"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82,1±1,2*#</w:t>
            </w:r>
          </w:p>
        </w:tc>
      </w:tr>
      <w:tr w:rsidR="00012F54" w:rsidRPr="009C3AA9" w:rsidTr="00012F54">
        <w:tc>
          <w:tcPr>
            <w:tcW w:w="4815" w:type="dxa"/>
            <w:vMerge w:val="restart"/>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r w:rsidRPr="009C3AA9">
              <w:rPr>
                <w:rFonts w:ascii="Times New Roman" w:hAnsi="Times New Roman"/>
                <w:sz w:val="28"/>
                <w:szCs w:val="28"/>
                <w:lang w:val="uk-UA"/>
              </w:rPr>
              <w:t xml:space="preserve">ЦВТ </w:t>
            </w:r>
            <w:r>
              <w:rPr>
                <w:rFonts w:ascii="Times New Roman" w:hAnsi="Times New Roman"/>
                <w:sz w:val="28"/>
                <w:szCs w:val="28"/>
                <w:lang w:val="uk-UA"/>
              </w:rPr>
              <w:t>(</w:t>
            </w:r>
            <w:r w:rsidRPr="009C3AA9">
              <w:rPr>
                <w:rFonts w:ascii="Times New Roman" w:hAnsi="Times New Roman"/>
                <w:sz w:val="28"/>
                <w:szCs w:val="28"/>
                <w:lang w:val="uk-UA"/>
              </w:rPr>
              <w:t>мм вод. ст.</w:t>
            </w:r>
            <w:r>
              <w:rPr>
                <w:rFonts w:ascii="Times New Roman" w:hAnsi="Times New Roman"/>
                <w:sz w:val="28"/>
                <w:szCs w:val="28"/>
                <w:lang w:val="uk-UA"/>
              </w:rPr>
              <w:t>)</w:t>
            </w:r>
          </w:p>
        </w:tc>
        <w:tc>
          <w:tcPr>
            <w:tcW w:w="2835" w:type="dxa"/>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Фоновий рівень</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80,7±0,8*</w:t>
            </w:r>
          </w:p>
        </w:tc>
        <w:tc>
          <w:tcPr>
            <w:tcW w:w="2551"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83,3±1,1</w:t>
            </w:r>
          </w:p>
        </w:tc>
        <w:tc>
          <w:tcPr>
            <w:tcW w:w="2268"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84,0±1,3</w:t>
            </w:r>
          </w:p>
        </w:tc>
      </w:tr>
      <w:tr w:rsidR="00012F54" w:rsidRPr="009C3AA9" w:rsidTr="00012F54">
        <w:tc>
          <w:tcPr>
            <w:tcW w:w="4815" w:type="dxa"/>
            <w:vMerge/>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p>
        </w:tc>
        <w:tc>
          <w:tcPr>
            <w:tcW w:w="2835" w:type="dxa"/>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4</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43,3±1,5</w:t>
            </w:r>
          </w:p>
        </w:tc>
        <w:tc>
          <w:tcPr>
            <w:tcW w:w="2551"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80,7±0,7#</w:t>
            </w:r>
            <w:r w:rsidRPr="009C3AA9">
              <w:rPr>
                <w:rFonts w:ascii="Times New Roman" w:hAnsi="Times New Roman"/>
                <w:sz w:val="28"/>
                <w:szCs w:val="28"/>
                <w:vertAlign w:val="superscript"/>
                <w:lang w:val="uk-UA"/>
              </w:rPr>
              <w:t xml:space="preserve"> α</w:t>
            </w:r>
          </w:p>
        </w:tc>
        <w:tc>
          <w:tcPr>
            <w:tcW w:w="2268"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68,7±0,8*#</w:t>
            </w:r>
          </w:p>
        </w:tc>
      </w:tr>
      <w:tr w:rsidR="00012F54" w:rsidRPr="009C3AA9" w:rsidTr="00012F54">
        <w:tc>
          <w:tcPr>
            <w:tcW w:w="4815" w:type="dxa"/>
            <w:vMerge w:val="restart"/>
            <w:shd w:val="clear" w:color="auto" w:fill="auto"/>
            <w:vAlign w:val="center"/>
          </w:tcPr>
          <w:p w:rsidR="00012F54" w:rsidRPr="009C3AA9" w:rsidRDefault="00012F54" w:rsidP="00012F54">
            <w:pPr>
              <w:widowControl w:val="0"/>
              <w:spacing w:after="0" w:line="240" w:lineRule="auto"/>
              <w:rPr>
                <w:rFonts w:ascii="Times New Roman" w:hAnsi="Times New Roman"/>
                <w:sz w:val="28"/>
                <w:szCs w:val="28"/>
                <w:lang w:val="uk-UA"/>
              </w:rPr>
            </w:pPr>
            <w:r w:rsidRPr="009C3AA9">
              <w:rPr>
                <w:rFonts w:ascii="Times New Roman" w:hAnsi="Times New Roman"/>
                <w:sz w:val="28"/>
                <w:szCs w:val="28"/>
                <w:lang w:val="uk-UA"/>
              </w:rPr>
              <w:t>SaO</w:t>
            </w:r>
            <w:r w:rsidRPr="009C3AA9">
              <w:rPr>
                <w:rFonts w:ascii="Times New Roman" w:hAnsi="Times New Roman"/>
                <w:sz w:val="28"/>
                <w:szCs w:val="28"/>
                <w:vertAlign w:val="subscript"/>
                <w:lang w:val="uk-UA"/>
              </w:rPr>
              <w:t>2</w:t>
            </w:r>
            <w:r>
              <w:rPr>
                <w:rFonts w:ascii="Times New Roman" w:hAnsi="Times New Roman"/>
                <w:sz w:val="28"/>
                <w:szCs w:val="28"/>
                <w:lang w:val="uk-UA"/>
              </w:rPr>
              <w:t>(</w:t>
            </w:r>
            <w:r w:rsidRPr="009C3AA9">
              <w:rPr>
                <w:rFonts w:ascii="Times New Roman" w:hAnsi="Times New Roman"/>
                <w:sz w:val="28"/>
                <w:szCs w:val="28"/>
                <w:lang w:val="uk-UA"/>
              </w:rPr>
              <w:t>%</w:t>
            </w:r>
            <w:r>
              <w:rPr>
                <w:rFonts w:ascii="Times New Roman" w:hAnsi="Times New Roman"/>
                <w:sz w:val="28"/>
                <w:szCs w:val="28"/>
                <w:lang w:val="uk-UA"/>
              </w:rPr>
              <w:t>)</w:t>
            </w:r>
          </w:p>
        </w:tc>
        <w:tc>
          <w:tcPr>
            <w:tcW w:w="2835" w:type="dxa"/>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Фоновий рівень</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97,7±0,6*</w:t>
            </w:r>
          </w:p>
        </w:tc>
        <w:tc>
          <w:tcPr>
            <w:tcW w:w="2551"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97,6±0,5</w:t>
            </w:r>
          </w:p>
        </w:tc>
        <w:tc>
          <w:tcPr>
            <w:tcW w:w="2268"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97,6±0,5</w:t>
            </w:r>
          </w:p>
        </w:tc>
      </w:tr>
      <w:tr w:rsidR="00012F54" w:rsidRPr="009C3AA9" w:rsidTr="00012F54">
        <w:tc>
          <w:tcPr>
            <w:tcW w:w="4815" w:type="dxa"/>
            <w:vMerge/>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p>
        </w:tc>
        <w:tc>
          <w:tcPr>
            <w:tcW w:w="2835" w:type="dxa"/>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4</w:t>
            </w:r>
          </w:p>
        </w:tc>
        <w:tc>
          <w:tcPr>
            <w:tcW w:w="2410"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62,6±0,8*</w:t>
            </w:r>
          </w:p>
        </w:tc>
        <w:tc>
          <w:tcPr>
            <w:tcW w:w="2551"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81,9±1,1*#</w:t>
            </w:r>
            <w:r w:rsidRPr="009C3AA9">
              <w:rPr>
                <w:rFonts w:ascii="Times New Roman" w:hAnsi="Times New Roman"/>
                <w:sz w:val="28"/>
                <w:szCs w:val="28"/>
                <w:vertAlign w:val="superscript"/>
                <w:lang w:val="uk-UA"/>
              </w:rPr>
              <w:t xml:space="preserve"> α</w:t>
            </w:r>
          </w:p>
        </w:tc>
        <w:tc>
          <w:tcPr>
            <w:tcW w:w="2268" w:type="dxa"/>
            <w:shd w:val="clear" w:color="auto" w:fill="auto"/>
            <w:vAlign w:val="center"/>
          </w:tcPr>
          <w:p w:rsidR="00012F54" w:rsidRPr="009C3AA9" w:rsidRDefault="00012F54" w:rsidP="00012F54">
            <w:pPr>
              <w:widowControl w:val="0"/>
              <w:spacing w:after="0" w:line="240" w:lineRule="auto"/>
              <w:jc w:val="center"/>
              <w:rPr>
                <w:rFonts w:ascii="Times New Roman" w:hAnsi="Times New Roman"/>
                <w:sz w:val="28"/>
                <w:szCs w:val="28"/>
                <w:lang w:val="uk-UA"/>
              </w:rPr>
            </w:pPr>
            <w:r w:rsidRPr="009C3AA9">
              <w:rPr>
                <w:rFonts w:ascii="Times New Roman" w:hAnsi="Times New Roman"/>
                <w:sz w:val="28"/>
                <w:szCs w:val="28"/>
                <w:lang w:val="uk-UA"/>
              </w:rPr>
              <w:t>71,9±0,7*#</w:t>
            </w:r>
          </w:p>
        </w:tc>
      </w:tr>
    </w:tbl>
    <w:p w:rsidR="00012F54" w:rsidRDefault="00012F54" w:rsidP="00012F54">
      <w:pPr>
        <w:pStyle w:val="-1"/>
        <w:widowControl w:val="0"/>
        <w:ind w:firstLine="284"/>
        <w:rPr>
          <w:sz w:val="28"/>
          <w:szCs w:val="28"/>
          <w:lang w:val="uk-UA"/>
        </w:rPr>
      </w:pPr>
    </w:p>
    <w:p w:rsidR="00012F54" w:rsidRDefault="00012F54" w:rsidP="00012F54">
      <w:pPr>
        <w:pStyle w:val="-1"/>
        <w:widowControl w:val="0"/>
        <w:ind w:firstLine="284"/>
        <w:rPr>
          <w:sz w:val="28"/>
          <w:szCs w:val="28"/>
          <w:lang w:val="uk-UA"/>
        </w:rPr>
      </w:pPr>
      <w:r w:rsidRPr="009C3AA9">
        <w:rPr>
          <w:sz w:val="28"/>
          <w:szCs w:val="28"/>
          <w:lang w:val="uk-UA"/>
        </w:rPr>
        <w:t>Примітк</w:t>
      </w:r>
      <w:r>
        <w:rPr>
          <w:sz w:val="28"/>
          <w:szCs w:val="28"/>
          <w:lang w:val="uk-UA"/>
        </w:rPr>
        <w:t>и</w:t>
      </w:r>
      <w:r w:rsidRPr="009C3AA9">
        <w:rPr>
          <w:sz w:val="28"/>
          <w:szCs w:val="28"/>
          <w:lang w:val="uk-UA"/>
        </w:rPr>
        <w:t xml:space="preserve">: </w:t>
      </w:r>
    </w:p>
    <w:p w:rsidR="00012F54" w:rsidRDefault="00012F54" w:rsidP="00012F54">
      <w:pPr>
        <w:pStyle w:val="-1"/>
        <w:widowControl w:val="0"/>
        <w:tabs>
          <w:tab w:val="left" w:pos="851"/>
        </w:tabs>
        <w:ind w:left="284" w:firstLine="283"/>
        <w:rPr>
          <w:sz w:val="28"/>
          <w:szCs w:val="28"/>
          <w:lang w:val="uk-UA"/>
        </w:rPr>
      </w:pPr>
    </w:p>
    <w:p w:rsidR="00012F54" w:rsidRDefault="00012F54" w:rsidP="00012F54">
      <w:pPr>
        <w:pStyle w:val="-1"/>
        <w:widowControl w:val="0"/>
        <w:numPr>
          <w:ilvl w:val="0"/>
          <w:numId w:val="17"/>
        </w:numPr>
        <w:tabs>
          <w:tab w:val="left" w:pos="851"/>
        </w:tabs>
        <w:spacing w:line="360" w:lineRule="auto"/>
        <w:ind w:left="284" w:firstLine="283"/>
        <w:rPr>
          <w:sz w:val="28"/>
          <w:szCs w:val="28"/>
          <w:lang w:val="uk-UA"/>
        </w:rPr>
      </w:pPr>
      <w:r w:rsidRPr="009C3AA9">
        <w:rPr>
          <w:sz w:val="28"/>
          <w:szCs w:val="28"/>
          <w:lang w:val="uk-UA"/>
        </w:rPr>
        <w:t xml:space="preserve">* – р&lt;0,05 щодо фонового рівня; </w:t>
      </w:r>
    </w:p>
    <w:p w:rsidR="00012F54" w:rsidRDefault="00012F54" w:rsidP="00012F54">
      <w:pPr>
        <w:pStyle w:val="-1"/>
        <w:widowControl w:val="0"/>
        <w:numPr>
          <w:ilvl w:val="0"/>
          <w:numId w:val="17"/>
        </w:numPr>
        <w:tabs>
          <w:tab w:val="left" w:pos="851"/>
        </w:tabs>
        <w:spacing w:line="360" w:lineRule="auto"/>
        <w:ind w:left="284" w:firstLine="283"/>
        <w:rPr>
          <w:sz w:val="28"/>
          <w:szCs w:val="28"/>
          <w:lang w:val="uk-UA"/>
        </w:rPr>
      </w:pPr>
      <w:r w:rsidRPr="009C3AA9">
        <w:rPr>
          <w:sz w:val="28"/>
          <w:szCs w:val="28"/>
          <w:lang w:val="uk-UA"/>
        </w:rPr>
        <w:t xml:space="preserve"># – р&lt;0,05 щодо групи контрольної патології; </w:t>
      </w:r>
    </w:p>
    <w:p w:rsidR="00012F54" w:rsidRPr="00047AD6" w:rsidRDefault="00012F54" w:rsidP="00012F54">
      <w:pPr>
        <w:pStyle w:val="-1"/>
        <w:widowControl w:val="0"/>
        <w:numPr>
          <w:ilvl w:val="0"/>
          <w:numId w:val="17"/>
        </w:numPr>
        <w:tabs>
          <w:tab w:val="left" w:pos="851"/>
        </w:tabs>
        <w:spacing w:line="360" w:lineRule="auto"/>
        <w:ind w:left="284" w:firstLine="283"/>
        <w:rPr>
          <w:sz w:val="28"/>
          <w:szCs w:val="28"/>
          <w:lang w:val="uk-UA"/>
        </w:rPr>
      </w:pPr>
      <w:r w:rsidRPr="009C3AA9">
        <w:rPr>
          <w:sz w:val="28"/>
          <w:szCs w:val="28"/>
          <w:lang w:val="uk-UA"/>
        </w:rPr>
        <w:t>α – р&lt;0,</w:t>
      </w:r>
      <w:r w:rsidRPr="00047AD6">
        <w:rPr>
          <w:sz w:val="28"/>
          <w:szCs w:val="28"/>
          <w:lang w:val="uk-UA"/>
        </w:rPr>
        <w:t>05 щодо німодипіну;</w:t>
      </w:r>
    </w:p>
    <w:p w:rsidR="00012F54" w:rsidRPr="00047AD6" w:rsidRDefault="00012F54" w:rsidP="00012F54">
      <w:pPr>
        <w:pStyle w:val="a5"/>
        <w:widowControl w:val="0"/>
        <w:numPr>
          <w:ilvl w:val="0"/>
          <w:numId w:val="17"/>
        </w:numPr>
        <w:tabs>
          <w:tab w:val="left" w:pos="851"/>
        </w:tabs>
        <w:spacing w:after="0" w:line="360" w:lineRule="auto"/>
        <w:ind w:hanging="77"/>
        <w:rPr>
          <w:rFonts w:ascii="Times New Roman" w:hAnsi="Times New Roman"/>
          <w:sz w:val="28"/>
          <w:szCs w:val="28"/>
          <w:lang w:val="uk-UA"/>
        </w:rPr>
      </w:pPr>
      <w:r w:rsidRPr="00047AD6">
        <w:rPr>
          <w:rFonts w:ascii="Times New Roman" w:hAnsi="Times New Roman"/>
          <w:sz w:val="28"/>
          <w:szCs w:val="28"/>
          <w:lang w:val="en-US"/>
        </w:rPr>
        <w:t>n</w:t>
      </w:r>
      <w:r w:rsidRPr="00047AD6">
        <w:rPr>
          <w:rFonts w:ascii="Times New Roman" w:hAnsi="Times New Roman"/>
          <w:sz w:val="28"/>
          <w:szCs w:val="28"/>
        </w:rPr>
        <w:t xml:space="preserve"> –</w:t>
      </w:r>
      <w:r w:rsidRPr="00047AD6">
        <w:rPr>
          <w:rFonts w:ascii="Times New Roman" w:hAnsi="Times New Roman"/>
          <w:sz w:val="28"/>
          <w:szCs w:val="28"/>
          <w:lang w:val="uk-UA"/>
        </w:rPr>
        <w:t xml:space="preserve"> кількість тварин в групі.</w:t>
      </w:r>
    </w:p>
    <w:p w:rsidR="00012F54" w:rsidRDefault="00012F54" w:rsidP="00012F54">
      <w:pPr>
        <w:pStyle w:val="-1"/>
        <w:widowControl w:val="0"/>
        <w:spacing w:line="360" w:lineRule="auto"/>
        <w:ind w:firstLine="284"/>
        <w:jc w:val="center"/>
        <w:rPr>
          <w:sz w:val="28"/>
          <w:szCs w:val="28"/>
          <w:lang w:val="uk-UA"/>
        </w:rPr>
        <w:sectPr w:rsidR="00012F54" w:rsidSect="00012F54">
          <w:pgSz w:w="16838" w:h="11906" w:orient="landscape"/>
          <w:pgMar w:top="1134" w:right="1134" w:bottom="567" w:left="1134" w:header="708" w:footer="708" w:gutter="0"/>
          <w:cols w:space="708"/>
          <w:docGrid w:linePitch="360"/>
        </w:sectPr>
      </w:pPr>
    </w:p>
    <w:p w:rsidR="00012F54" w:rsidRPr="009C3AA9" w:rsidRDefault="00406EAF" w:rsidP="00B065B6">
      <w:pPr>
        <w:pStyle w:val="-1"/>
        <w:widowControl w:val="0"/>
        <w:spacing w:line="360" w:lineRule="auto"/>
        <w:ind w:firstLine="284"/>
        <w:rPr>
          <w:sz w:val="28"/>
          <w:szCs w:val="28"/>
          <w:lang w:val="uk-UA"/>
        </w:rPr>
      </w:pPr>
      <w:r>
        <w:rPr>
          <w:sz w:val="28"/>
          <w:szCs w:val="28"/>
          <w:lang w:val="uk-UA"/>
        </w:rPr>
        <w:lastRenderedPageBreak/>
        <w:t>При</w:t>
      </w:r>
      <w:r w:rsidR="00012F54" w:rsidRPr="009C3AA9">
        <w:rPr>
          <w:sz w:val="28"/>
          <w:szCs w:val="28"/>
          <w:lang w:val="uk-UA"/>
        </w:rPr>
        <w:t xml:space="preserve"> цьому поступається останньому за здатністю покращувати мікроциркуляцію в корі. Цей феномен можна пояснити тим, що адемол, завдяки своїм β-адреноблокувальним властивостям, на відміну від референсу денонсує дію вазопресорів на рівні капілярів, ліквідуючи тим самим капіляроспазм.</w:t>
      </w:r>
    </w:p>
    <w:p w:rsidR="00012F54" w:rsidRPr="009C3AA9" w:rsidRDefault="00012F54" w:rsidP="00B065B6">
      <w:pPr>
        <w:pStyle w:val="-1"/>
        <w:widowControl w:val="0"/>
        <w:spacing w:line="360" w:lineRule="auto"/>
        <w:ind w:firstLine="284"/>
        <w:rPr>
          <w:sz w:val="28"/>
          <w:szCs w:val="28"/>
          <w:lang w:val="uk-UA"/>
        </w:rPr>
      </w:pPr>
      <w:r w:rsidRPr="009C3AA9">
        <w:rPr>
          <w:sz w:val="28"/>
          <w:szCs w:val="28"/>
          <w:lang w:val="uk-UA"/>
        </w:rPr>
        <w:t xml:space="preserve">Проведене дослідження показало, що обидві моделі </w:t>
      </w:r>
      <w:r w:rsidRPr="000A665E">
        <w:rPr>
          <w:color w:val="000000" w:themeColor="text1"/>
          <w:sz w:val="28"/>
          <w:szCs w:val="28"/>
          <w:lang w:val="uk-UA"/>
        </w:rPr>
        <w:t>В</w:t>
      </w:r>
      <w:r>
        <w:rPr>
          <w:color w:val="000000" w:themeColor="text1"/>
          <w:sz w:val="28"/>
          <w:szCs w:val="28"/>
          <w:lang w:val="uk-UA"/>
        </w:rPr>
        <w:t>ЧК</w:t>
      </w:r>
      <w:r w:rsidRPr="009C3AA9">
        <w:rPr>
          <w:sz w:val="28"/>
          <w:szCs w:val="28"/>
          <w:lang w:val="uk-UA"/>
        </w:rPr>
        <w:t xml:space="preserve"> супроводжуються падінням рівнів </w:t>
      </w:r>
      <w:r>
        <w:rPr>
          <w:sz w:val="28"/>
          <w:szCs w:val="28"/>
          <w:lang w:val="uk-UA"/>
        </w:rPr>
        <w:t>АТ</w:t>
      </w:r>
      <w:r w:rsidRPr="009C3AA9">
        <w:rPr>
          <w:sz w:val="28"/>
          <w:szCs w:val="28"/>
          <w:lang w:val="uk-UA"/>
        </w:rPr>
        <w:t xml:space="preserve"> та центрального тиску в середньому в 1,53 та 1,50 разу при ВМК і у 1,91 та 1,86 разу за САК відповідно, р&lt;0,05. Таким чином, можна анонсувати, що зниження кровопостачання мозку через вертебральні та внутрішні сонні артерії може бути наслідком падіння АТ та ЦВТ. </w:t>
      </w:r>
    </w:p>
    <w:p w:rsidR="00012F54" w:rsidRDefault="00012F54" w:rsidP="00B065B6">
      <w:pPr>
        <w:pStyle w:val="-1"/>
        <w:widowControl w:val="0"/>
        <w:spacing w:line="360" w:lineRule="auto"/>
        <w:ind w:firstLine="284"/>
        <w:rPr>
          <w:sz w:val="28"/>
          <w:szCs w:val="28"/>
          <w:lang w:val="uk-UA"/>
        </w:rPr>
      </w:pPr>
      <w:r w:rsidRPr="009C3AA9">
        <w:rPr>
          <w:sz w:val="28"/>
          <w:szCs w:val="28"/>
          <w:lang w:val="uk-UA"/>
        </w:rPr>
        <w:t>Негативна динаміка першого показника опосередковано говорить про низький сер</w:t>
      </w:r>
      <w:r w:rsidR="00F761BB">
        <w:rPr>
          <w:sz w:val="28"/>
          <w:szCs w:val="28"/>
          <w:lang w:val="uk-UA"/>
        </w:rPr>
        <w:t>-</w:t>
      </w:r>
      <w:r w:rsidRPr="009C3AA9">
        <w:rPr>
          <w:sz w:val="28"/>
          <w:szCs w:val="28"/>
          <w:lang w:val="uk-UA"/>
        </w:rPr>
        <w:t>цевий викид, а зниження другого – напряму засвідчує недостатнє повернення крові в праві відділи серця, що, в подальшому, і дається в знаки падінням АТ [</w:t>
      </w:r>
      <w:r w:rsidRPr="009C3AA9">
        <w:rPr>
          <w:sz w:val="28"/>
          <w:szCs w:val="28"/>
        </w:rPr>
        <w:t>157</w:t>
      </w:r>
      <w:r w:rsidRPr="00131568">
        <w:rPr>
          <w:sz w:val="28"/>
          <w:szCs w:val="28"/>
          <w:lang w:val="uk-UA"/>
        </w:rPr>
        <w:t>–</w:t>
      </w:r>
      <w:r w:rsidRPr="009C3AA9">
        <w:rPr>
          <w:sz w:val="28"/>
          <w:szCs w:val="28"/>
        </w:rPr>
        <w:t>159</w:t>
      </w:r>
      <w:r w:rsidRPr="009C3AA9">
        <w:rPr>
          <w:sz w:val="28"/>
          <w:szCs w:val="28"/>
          <w:lang w:val="uk-UA"/>
        </w:rPr>
        <w:t xml:space="preserve">]. </w:t>
      </w:r>
    </w:p>
    <w:p w:rsidR="00012F54" w:rsidRPr="009C3AA9" w:rsidRDefault="00012F54" w:rsidP="00B065B6">
      <w:pPr>
        <w:pStyle w:val="-1"/>
        <w:widowControl w:val="0"/>
        <w:spacing w:line="360" w:lineRule="auto"/>
        <w:ind w:firstLine="284"/>
        <w:rPr>
          <w:sz w:val="28"/>
          <w:szCs w:val="28"/>
          <w:lang w:val="uk-UA"/>
        </w:rPr>
      </w:pPr>
      <w:r w:rsidRPr="009C3AA9">
        <w:rPr>
          <w:sz w:val="28"/>
          <w:szCs w:val="28"/>
          <w:lang w:val="uk-UA"/>
        </w:rPr>
        <w:t xml:space="preserve">Отже, редукція центральної гемодинаміки, також є причиною погіршення мозкового кровоплину. Подібний факт, зниження швидкості кровобігу по внутрішніх сонних артеріях на тлі падіння </w:t>
      </w:r>
      <w:r>
        <w:rPr>
          <w:sz w:val="28"/>
          <w:szCs w:val="28"/>
          <w:lang w:val="uk-UA"/>
        </w:rPr>
        <w:t>АТ</w:t>
      </w:r>
      <w:r w:rsidRPr="009C3AA9">
        <w:rPr>
          <w:sz w:val="28"/>
          <w:szCs w:val="28"/>
          <w:lang w:val="uk-UA"/>
        </w:rPr>
        <w:t xml:space="preserve"> і </w:t>
      </w:r>
      <w:r>
        <w:rPr>
          <w:sz w:val="28"/>
          <w:szCs w:val="28"/>
          <w:lang w:val="uk-UA"/>
        </w:rPr>
        <w:t>ЦВТ</w:t>
      </w:r>
      <w:r w:rsidRPr="009C3AA9">
        <w:rPr>
          <w:sz w:val="28"/>
          <w:szCs w:val="28"/>
          <w:lang w:val="uk-UA"/>
        </w:rPr>
        <w:t>, детально описано на моделях ГПМК за ішемічним типом [</w:t>
      </w:r>
      <w:r w:rsidRPr="009C3AA9">
        <w:rPr>
          <w:sz w:val="28"/>
          <w:szCs w:val="28"/>
        </w:rPr>
        <w:t>10,116</w:t>
      </w:r>
      <w:r w:rsidRPr="009C3AA9">
        <w:rPr>
          <w:sz w:val="28"/>
          <w:szCs w:val="28"/>
          <w:lang w:val="uk-UA"/>
        </w:rPr>
        <w:t xml:space="preserve">]. Слід підкреслити, що САК супроводжується більш важкими (р&lt;0,05) гемодинамічними зрушеннями відносно фонових значень, що і з находить своє підтвердження у достовірно більшій летальності упродовж перших 4-х діб інсульту (розділ 3). </w:t>
      </w:r>
    </w:p>
    <w:p w:rsidR="00012F54" w:rsidRPr="009C3AA9" w:rsidRDefault="00012F54" w:rsidP="00B065B6">
      <w:pPr>
        <w:pStyle w:val="-1"/>
        <w:widowControl w:val="0"/>
        <w:spacing w:line="360" w:lineRule="auto"/>
        <w:ind w:firstLine="284"/>
        <w:rPr>
          <w:sz w:val="28"/>
          <w:szCs w:val="28"/>
          <w:lang w:val="uk-UA"/>
        </w:rPr>
      </w:pPr>
      <w:r w:rsidRPr="009C3AA9">
        <w:rPr>
          <w:sz w:val="28"/>
          <w:szCs w:val="28"/>
          <w:lang w:val="uk-UA"/>
        </w:rPr>
        <w:t xml:space="preserve">На користь формування гіпоксично-аноксичних змін в корі та підкіркових структурах головного мозку у гострий період </w:t>
      </w:r>
      <w:r w:rsidRPr="000A665E">
        <w:rPr>
          <w:color w:val="000000" w:themeColor="text1"/>
          <w:sz w:val="28"/>
          <w:szCs w:val="28"/>
          <w:lang w:val="uk-UA"/>
        </w:rPr>
        <w:t>В</w:t>
      </w:r>
      <w:r>
        <w:rPr>
          <w:color w:val="000000" w:themeColor="text1"/>
          <w:sz w:val="28"/>
          <w:szCs w:val="28"/>
          <w:lang w:val="uk-UA"/>
        </w:rPr>
        <w:t>ЧК</w:t>
      </w:r>
      <w:r w:rsidR="0068193E">
        <w:rPr>
          <w:sz w:val="28"/>
          <w:szCs w:val="28"/>
          <w:lang w:val="uk-UA"/>
        </w:rPr>
        <w:t>,</w:t>
      </w:r>
      <w:r w:rsidRPr="009C3AA9">
        <w:rPr>
          <w:sz w:val="28"/>
          <w:szCs w:val="28"/>
          <w:lang w:val="uk-UA"/>
        </w:rPr>
        <w:t xml:space="preserve"> вказує стрімке зниження ступеня насичення крові киснем (SaO</w:t>
      </w:r>
      <w:r w:rsidRPr="009C3AA9">
        <w:rPr>
          <w:sz w:val="28"/>
          <w:szCs w:val="28"/>
          <w:vertAlign w:val="subscript"/>
          <w:lang w:val="uk-UA"/>
        </w:rPr>
        <w:t>2</w:t>
      </w:r>
      <w:r w:rsidRPr="009C3AA9">
        <w:rPr>
          <w:sz w:val="28"/>
          <w:szCs w:val="28"/>
          <w:lang w:val="uk-UA"/>
        </w:rPr>
        <w:t>), що також є прямим наслідком погіршення перфузії та тотального церебровазоспазму. На 4-ту добу після моделювання крововиливу, у групі контрольної патології показник SaO</w:t>
      </w:r>
      <w:r w:rsidRPr="009C3AA9">
        <w:rPr>
          <w:sz w:val="28"/>
          <w:szCs w:val="28"/>
          <w:vertAlign w:val="subscript"/>
          <w:lang w:val="uk-UA"/>
        </w:rPr>
        <w:t>2</w:t>
      </w:r>
      <w:r w:rsidRPr="009C3AA9">
        <w:rPr>
          <w:sz w:val="28"/>
          <w:szCs w:val="28"/>
          <w:lang w:val="uk-UA"/>
        </w:rPr>
        <w:t xml:space="preserve"> виявився вірогідно меншим відносно фону в середньому на 24,7 % (ВМК) і на 35,9 % відповідно при САК, р&lt;0,05 (табл. 4.2 та 4.3). Покращення церебральної перфузії відбувалось на тлі достеменного зростання показника SaO</w:t>
      </w:r>
      <w:r w:rsidRPr="009C3AA9">
        <w:rPr>
          <w:sz w:val="28"/>
          <w:szCs w:val="28"/>
          <w:vertAlign w:val="subscript"/>
          <w:lang w:val="uk-UA"/>
        </w:rPr>
        <w:t>2</w:t>
      </w:r>
      <w:r w:rsidRPr="009C3AA9">
        <w:rPr>
          <w:sz w:val="28"/>
          <w:szCs w:val="28"/>
          <w:lang w:val="uk-UA"/>
        </w:rPr>
        <w:t xml:space="preserve"> відносно рівнів аналогічного показника у групі щурів контрольної патології при ВМК в середньому на 22,6 і 13,9 %, а при САК на 30,8 та 14,9 % відповідно. Оцінюючи ступінь відновлення даного показника, за своєю </w:t>
      </w:r>
      <w:r w:rsidRPr="009C3AA9">
        <w:rPr>
          <w:sz w:val="28"/>
          <w:szCs w:val="28"/>
          <w:lang w:val="uk-UA"/>
        </w:rPr>
        <w:lastRenderedPageBreak/>
        <w:t xml:space="preserve">ефективність адемол перевершував референс в середньому на 7,6 і 13,9 % співвідносно до ВМК, або САК, р&lt;0,05 (табл. 4.2 та 4.3). Підґрунтям до відновлення кровобігу та оксигенації в судинах мікроциркуляторного русла мозку на тлі нарізної терапії </w:t>
      </w:r>
      <w:r w:rsidRPr="000A665E">
        <w:rPr>
          <w:color w:val="000000" w:themeColor="text1"/>
          <w:sz w:val="28"/>
          <w:szCs w:val="28"/>
          <w:lang w:val="uk-UA"/>
        </w:rPr>
        <w:t>В</w:t>
      </w:r>
      <w:r>
        <w:rPr>
          <w:color w:val="000000" w:themeColor="text1"/>
          <w:sz w:val="28"/>
          <w:szCs w:val="28"/>
          <w:lang w:val="uk-UA"/>
        </w:rPr>
        <w:t>ЧК</w:t>
      </w:r>
      <w:r w:rsidRPr="009C3AA9">
        <w:rPr>
          <w:sz w:val="28"/>
          <w:szCs w:val="28"/>
          <w:lang w:val="uk-UA"/>
        </w:rPr>
        <w:t>адемолом та німодипіном, є стабілізація показників, що віддзеркалюють стан центральної гемодинаміки. Окрема інфузія досліджуваних препаратів, амортизувала падіння АТ та ЦВТ, стабілізуючи їх рівень на середніх значеннях, більших за такі у групі контрольної патології в середньому при ВМК, або САК в 1,43 та 1,85 рази (адемол, показник АТ), і в 1,51 та 1,86 разу (адемол, показник ЦВТ), а також на тлі німодипіну, відповідно при ВМК та САК в 1,15 та 1,31 рази (АТ), і в 1,41 та 1,59 рази (ЦВТ), р&lt;0,05. На відміну від німодипіну, на тлі інфузіїадемолу досліджувані показники не мали вірогідних відмінностей порівняно із вихідними рівнями. Разом із цим, стимулювальна дія німодипіну на церебральний кровоплин відбувалась на тлі достовірної гіпотензії. Такий ефект при інсульті є недоречним, та більш того – небе</w:t>
      </w:r>
      <w:r w:rsidR="00F761BB">
        <w:rPr>
          <w:sz w:val="28"/>
          <w:szCs w:val="28"/>
          <w:lang w:val="uk-UA"/>
        </w:rPr>
        <w:t>-</w:t>
      </w:r>
      <w:r w:rsidRPr="009C3AA9">
        <w:rPr>
          <w:sz w:val="28"/>
          <w:szCs w:val="28"/>
          <w:lang w:val="uk-UA"/>
        </w:rPr>
        <w:t>зпечним, і при прогресуванні подальшого зниження АТ, наприклад при підвищенні дози або швидкості інфузії, може призвести до зворотних та діаметрально проти</w:t>
      </w:r>
      <w:r w:rsidR="00F761BB">
        <w:rPr>
          <w:sz w:val="28"/>
          <w:szCs w:val="28"/>
          <w:lang w:val="uk-UA"/>
        </w:rPr>
        <w:t>-</w:t>
      </w:r>
      <w:r w:rsidRPr="009C3AA9">
        <w:rPr>
          <w:sz w:val="28"/>
          <w:szCs w:val="28"/>
          <w:lang w:val="uk-UA"/>
        </w:rPr>
        <w:t xml:space="preserve">лежних до покращання мозкового кровоплину наслідків. У даному, гемодинамічному аспекті, адемол є більш безпечним та ефективним за препарат порівняння. </w:t>
      </w:r>
    </w:p>
    <w:p w:rsidR="00012F54" w:rsidRPr="009C3AA9" w:rsidRDefault="00012F54" w:rsidP="00B065B6">
      <w:pPr>
        <w:pStyle w:val="-1"/>
        <w:widowControl w:val="0"/>
        <w:spacing w:line="360" w:lineRule="auto"/>
        <w:ind w:firstLine="284"/>
        <w:rPr>
          <w:sz w:val="28"/>
          <w:szCs w:val="28"/>
          <w:lang w:val="uk-UA"/>
        </w:rPr>
      </w:pPr>
      <w:r w:rsidRPr="009C3AA9">
        <w:rPr>
          <w:sz w:val="28"/>
          <w:szCs w:val="28"/>
          <w:lang w:val="uk-UA"/>
        </w:rPr>
        <w:t xml:space="preserve">За величиною стимулювальної дії на мікроциркуляцію в корі головного мозку басейну </w:t>
      </w:r>
      <w:r>
        <w:rPr>
          <w:sz w:val="28"/>
          <w:szCs w:val="28"/>
          <w:lang w:val="uk-UA"/>
        </w:rPr>
        <w:t>СМА</w:t>
      </w:r>
      <w:r w:rsidRPr="009C3AA9">
        <w:rPr>
          <w:sz w:val="28"/>
          <w:szCs w:val="28"/>
          <w:lang w:val="uk-UA"/>
        </w:rPr>
        <w:t>, адемол вірогідно переважав німодипін при ВМК в середньому в 1,44, а при САК в 1,54 разу відповідно. Покращення церебральної перфузії відбувалось на тлі достеменного зростання показника SaO</w:t>
      </w:r>
      <w:r w:rsidRPr="009C3AA9">
        <w:rPr>
          <w:sz w:val="28"/>
          <w:szCs w:val="28"/>
          <w:vertAlign w:val="subscript"/>
          <w:lang w:val="uk-UA"/>
        </w:rPr>
        <w:t>2</w:t>
      </w:r>
      <w:r w:rsidRPr="009C3AA9">
        <w:rPr>
          <w:sz w:val="28"/>
          <w:szCs w:val="28"/>
          <w:lang w:val="uk-UA"/>
        </w:rPr>
        <w:t xml:space="preserve"> відносно рівнів аналогічного показника у групі щурів контрольної патології при ВМК в середньому на 22,6 і 13,9%, а при САК на 30,8 та 14,9% відповідно. </w:t>
      </w:r>
    </w:p>
    <w:p w:rsidR="00012F54" w:rsidRPr="009C3AA9" w:rsidRDefault="0068193E" w:rsidP="00B065B6">
      <w:pPr>
        <w:pStyle w:val="-1"/>
        <w:widowControl w:val="0"/>
        <w:spacing w:line="360" w:lineRule="auto"/>
        <w:ind w:firstLine="284"/>
        <w:rPr>
          <w:sz w:val="28"/>
          <w:szCs w:val="28"/>
          <w:lang w:val="uk-UA"/>
        </w:rPr>
      </w:pPr>
      <w:r>
        <w:rPr>
          <w:sz w:val="28"/>
          <w:szCs w:val="28"/>
          <w:lang w:val="uk-UA"/>
        </w:rPr>
        <w:t>За своєю ефективністю</w:t>
      </w:r>
      <w:r w:rsidR="00012F54" w:rsidRPr="009C3AA9">
        <w:rPr>
          <w:sz w:val="28"/>
          <w:szCs w:val="28"/>
          <w:lang w:val="uk-UA"/>
        </w:rPr>
        <w:t xml:space="preserve">адемол перевершував референс в середньому на 7,6 і 13,9% співвідносно до ВМК, або САК, р&lt;0,05. На відміну від німодипіну, на тлі інфузіїадемолу показники центральної гемодинаміки (АТ та ЦВТ) не мали вірогідних відмінностей порівняно із вихідними рівнями. Стимулювальна дія німодипіну на церебральний кровоплин відбувалась на тлі достовірної гіпотензії. Підґрунтям до відновлення міккроциркуляції та оксигенації в судинах </w:t>
      </w:r>
      <w:r w:rsidR="00012F54" w:rsidRPr="009C3AA9">
        <w:rPr>
          <w:sz w:val="28"/>
          <w:szCs w:val="28"/>
          <w:lang w:val="uk-UA"/>
        </w:rPr>
        <w:lastRenderedPageBreak/>
        <w:t xml:space="preserve">мікроциркуляторного русла мозку на тлі нарізної терапії </w:t>
      </w:r>
      <w:r w:rsidR="00012F54" w:rsidRPr="000A665E">
        <w:rPr>
          <w:color w:val="000000" w:themeColor="text1"/>
          <w:sz w:val="28"/>
          <w:szCs w:val="28"/>
          <w:lang w:val="uk-UA"/>
        </w:rPr>
        <w:t>В</w:t>
      </w:r>
      <w:r w:rsidR="00012F54">
        <w:rPr>
          <w:color w:val="000000" w:themeColor="text1"/>
          <w:sz w:val="28"/>
          <w:szCs w:val="28"/>
          <w:lang w:val="uk-UA"/>
        </w:rPr>
        <w:t>ЧК</w:t>
      </w:r>
      <w:r w:rsidR="00012F54" w:rsidRPr="009C3AA9">
        <w:rPr>
          <w:sz w:val="28"/>
          <w:szCs w:val="28"/>
          <w:lang w:val="uk-UA"/>
        </w:rPr>
        <w:t>адемолом та німодипіном, є стабілізація показників, що віддзеркалюють стан центральної гемодинаміки.</w:t>
      </w:r>
    </w:p>
    <w:p w:rsidR="00012F54" w:rsidRDefault="00012F54" w:rsidP="00B065B6">
      <w:pPr>
        <w:widowControl w:val="0"/>
        <w:spacing w:after="0" w:line="360" w:lineRule="auto"/>
        <w:ind w:firstLine="284"/>
        <w:jc w:val="both"/>
        <w:rPr>
          <w:rFonts w:ascii="Times New Roman" w:hAnsi="Times New Roman"/>
          <w:sz w:val="28"/>
          <w:szCs w:val="28"/>
          <w:lang w:val="uk-UA"/>
        </w:rPr>
      </w:pPr>
      <w:r w:rsidRPr="009C3AA9">
        <w:rPr>
          <w:rFonts w:ascii="Times New Roman" w:hAnsi="Times New Roman"/>
          <w:sz w:val="28"/>
          <w:szCs w:val="28"/>
          <w:lang w:val="uk-UA"/>
        </w:rPr>
        <w:t xml:space="preserve">Резюмуючи дані, що були нами отримані при оцінці впливу адемолу на церебральну перфузію в умовах інсульту, стає очевидним, що при САК необхідно обов’язково з’ясувати, яким чином він впливає на показник ВЧТ. Моніторинг </w:t>
      </w:r>
      <w:r>
        <w:rPr>
          <w:rFonts w:ascii="Times New Roman" w:hAnsi="Times New Roman"/>
          <w:sz w:val="28"/>
          <w:szCs w:val="28"/>
          <w:lang w:val="uk-UA"/>
        </w:rPr>
        <w:t>ВЧТ</w:t>
      </w:r>
      <w:r w:rsidRPr="009C3AA9">
        <w:rPr>
          <w:rFonts w:ascii="Times New Roman" w:hAnsi="Times New Roman"/>
          <w:sz w:val="28"/>
          <w:szCs w:val="28"/>
          <w:lang w:val="uk-UA"/>
        </w:rPr>
        <w:t xml:space="preserve"> у щурів із САК на тлі інфузії розчинів адемолу та референс-препаратів показав, що лікувальне введення похідного адамантану в організм щурів із САК важкого ступеня сприяє зменшенню ВЧТ відносно тварин групи контрольної патології в середньому в у 2,88 рази (табл. 4.4)</w:t>
      </w:r>
      <w:r w:rsidR="00406EAF">
        <w:rPr>
          <w:rFonts w:ascii="Times New Roman" w:hAnsi="Times New Roman"/>
          <w:sz w:val="28"/>
          <w:szCs w:val="28"/>
          <w:lang w:val="uk-UA"/>
        </w:rPr>
        <w:t>.</w:t>
      </w:r>
    </w:p>
    <w:p w:rsidR="00012F54" w:rsidRDefault="00012F54" w:rsidP="00012F54">
      <w:pPr>
        <w:widowControl w:val="0"/>
        <w:spacing w:after="0" w:line="360" w:lineRule="auto"/>
        <w:ind w:firstLine="284"/>
        <w:jc w:val="right"/>
        <w:rPr>
          <w:rFonts w:ascii="Times New Roman" w:hAnsi="Times New Roman"/>
          <w:sz w:val="28"/>
          <w:szCs w:val="28"/>
          <w:lang w:val="uk-UA"/>
        </w:rPr>
      </w:pPr>
      <w:r w:rsidRPr="009C3AA9">
        <w:rPr>
          <w:rFonts w:ascii="Times New Roman" w:hAnsi="Times New Roman"/>
          <w:sz w:val="28"/>
          <w:szCs w:val="28"/>
          <w:lang w:val="uk-UA"/>
        </w:rPr>
        <w:t>Таблиця 4.4</w:t>
      </w:r>
    </w:p>
    <w:p w:rsidR="00012F54" w:rsidRPr="00047AD6" w:rsidRDefault="00012F54" w:rsidP="00012F54">
      <w:pPr>
        <w:widowControl w:val="0"/>
        <w:spacing w:after="0" w:line="360" w:lineRule="auto"/>
        <w:ind w:firstLine="284"/>
        <w:jc w:val="center"/>
        <w:rPr>
          <w:rFonts w:ascii="Times New Roman" w:hAnsi="Times New Roman"/>
          <w:sz w:val="28"/>
          <w:szCs w:val="28"/>
          <w:lang w:val="uk-UA"/>
        </w:rPr>
      </w:pPr>
      <w:r w:rsidRPr="00047AD6">
        <w:rPr>
          <w:rFonts w:ascii="Times New Roman" w:hAnsi="Times New Roman"/>
          <w:sz w:val="28"/>
          <w:szCs w:val="28"/>
          <w:lang w:val="uk-UA"/>
        </w:rPr>
        <w:t xml:space="preserve">Вплив адемолу та референс-препаратів на показник внутрішньочерепного тиску </w:t>
      </w:r>
    </w:p>
    <w:p w:rsidR="00F761BB" w:rsidRDefault="00012F54" w:rsidP="00012F54">
      <w:pPr>
        <w:widowControl w:val="0"/>
        <w:spacing w:after="0" w:line="360" w:lineRule="auto"/>
        <w:ind w:firstLine="284"/>
        <w:jc w:val="center"/>
        <w:rPr>
          <w:rFonts w:ascii="Times New Roman" w:hAnsi="Times New Roman"/>
          <w:sz w:val="28"/>
          <w:szCs w:val="28"/>
          <w:lang w:val="uk-UA"/>
        </w:rPr>
      </w:pPr>
      <w:r w:rsidRPr="00047AD6">
        <w:rPr>
          <w:rFonts w:ascii="Times New Roman" w:hAnsi="Times New Roman"/>
          <w:sz w:val="28"/>
          <w:szCs w:val="28"/>
          <w:lang w:val="uk-UA"/>
        </w:rPr>
        <w:t>у щурів із субарноїдальним крововиливом у критичний період інсульту,</w:t>
      </w:r>
    </w:p>
    <w:p w:rsidR="00012F54" w:rsidRDefault="00012F54" w:rsidP="00012F54">
      <w:pPr>
        <w:widowControl w:val="0"/>
        <w:spacing w:after="0" w:line="360" w:lineRule="auto"/>
        <w:ind w:firstLine="284"/>
        <w:jc w:val="center"/>
        <w:rPr>
          <w:rFonts w:ascii="Times New Roman" w:hAnsi="Times New Roman"/>
          <w:sz w:val="28"/>
          <w:szCs w:val="28"/>
          <w:lang w:val="uk-UA"/>
        </w:rPr>
      </w:pPr>
      <w:r w:rsidRPr="00047AD6">
        <w:rPr>
          <w:rFonts w:ascii="Times New Roman" w:hAnsi="Times New Roman"/>
          <w:sz w:val="28"/>
          <w:szCs w:val="28"/>
          <w:lang w:val="uk-UA"/>
        </w:rPr>
        <w:t xml:space="preserve">M±m (n=7) </w:t>
      </w:r>
    </w:p>
    <w:p w:rsidR="0036311A" w:rsidRPr="00047AD6" w:rsidRDefault="0036311A" w:rsidP="00012F54">
      <w:pPr>
        <w:widowControl w:val="0"/>
        <w:spacing w:after="0" w:line="360" w:lineRule="auto"/>
        <w:ind w:firstLine="284"/>
        <w:jc w:val="center"/>
        <w:rPr>
          <w:rFonts w:ascii="Times New Roman" w:hAnsi="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6"/>
        <w:gridCol w:w="2979"/>
      </w:tblGrid>
      <w:tr w:rsidR="00012F54" w:rsidRPr="00047AD6" w:rsidTr="00012F54">
        <w:trPr>
          <w:trHeight w:val="519"/>
          <w:jc w:val="center"/>
        </w:trPr>
        <w:tc>
          <w:tcPr>
            <w:tcW w:w="6516" w:type="dxa"/>
            <w:vAlign w:val="center"/>
          </w:tcPr>
          <w:p w:rsidR="00012F54" w:rsidRPr="00047AD6" w:rsidRDefault="00012F54" w:rsidP="00406EAF">
            <w:pPr>
              <w:widowControl w:val="0"/>
              <w:spacing w:after="0" w:line="240" w:lineRule="auto"/>
              <w:jc w:val="center"/>
              <w:rPr>
                <w:rFonts w:ascii="Times New Roman" w:hAnsi="Times New Roman"/>
                <w:sz w:val="28"/>
                <w:szCs w:val="28"/>
                <w:lang w:val="uk-UA"/>
              </w:rPr>
            </w:pPr>
            <w:r w:rsidRPr="00047AD6">
              <w:rPr>
                <w:rFonts w:ascii="Times New Roman" w:hAnsi="Times New Roman"/>
                <w:sz w:val="28"/>
                <w:szCs w:val="28"/>
                <w:lang w:val="uk-UA"/>
              </w:rPr>
              <w:t>Групи тварин</w:t>
            </w:r>
          </w:p>
        </w:tc>
        <w:tc>
          <w:tcPr>
            <w:tcW w:w="2979" w:type="dxa"/>
            <w:vAlign w:val="center"/>
          </w:tcPr>
          <w:p w:rsidR="00012F54" w:rsidRPr="00047AD6" w:rsidRDefault="00012F54" w:rsidP="00406EAF">
            <w:pPr>
              <w:widowControl w:val="0"/>
              <w:spacing w:after="0" w:line="240" w:lineRule="auto"/>
              <w:jc w:val="center"/>
              <w:rPr>
                <w:rFonts w:ascii="Times New Roman" w:hAnsi="Times New Roman"/>
                <w:sz w:val="28"/>
                <w:szCs w:val="28"/>
                <w:lang w:val="uk-UA"/>
              </w:rPr>
            </w:pPr>
            <w:r w:rsidRPr="00047AD6">
              <w:rPr>
                <w:rFonts w:ascii="Times New Roman" w:hAnsi="Times New Roman"/>
                <w:sz w:val="28"/>
                <w:szCs w:val="28"/>
                <w:lang w:val="uk-UA"/>
              </w:rPr>
              <w:t>ВЧТ (ум. од.), 48 год</w:t>
            </w:r>
          </w:p>
        </w:tc>
      </w:tr>
      <w:tr w:rsidR="00012F54" w:rsidRPr="00047AD6" w:rsidTr="00012F54">
        <w:trPr>
          <w:jc w:val="center"/>
        </w:trPr>
        <w:tc>
          <w:tcPr>
            <w:tcW w:w="6516" w:type="dxa"/>
            <w:vAlign w:val="center"/>
          </w:tcPr>
          <w:p w:rsidR="00012F54" w:rsidRPr="00047AD6" w:rsidRDefault="00012F54" w:rsidP="00406EAF">
            <w:pPr>
              <w:widowControl w:val="0"/>
              <w:spacing w:after="0" w:line="240" w:lineRule="auto"/>
              <w:rPr>
                <w:rFonts w:ascii="Times New Roman" w:hAnsi="Times New Roman"/>
                <w:b/>
                <w:sz w:val="28"/>
                <w:szCs w:val="28"/>
                <w:lang w:val="uk-UA"/>
              </w:rPr>
            </w:pPr>
            <w:r w:rsidRPr="00047AD6">
              <w:rPr>
                <w:rFonts w:ascii="Times New Roman" w:hAnsi="Times New Roman"/>
                <w:sz w:val="28"/>
                <w:szCs w:val="28"/>
                <w:lang w:val="uk-UA"/>
              </w:rPr>
              <w:t>Псевдооперовані тварини+ 0,9% NаСІ, 2 мл/кг (n=7)</w:t>
            </w:r>
          </w:p>
        </w:tc>
        <w:tc>
          <w:tcPr>
            <w:tcW w:w="2979" w:type="dxa"/>
            <w:vAlign w:val="center"/>
          </w:tcPr>
          <w:p w:rsidR="00012F54" w:rsidRPr="00047AD6" w:rsidRDefault="00012F54" w:rsidP="00406EAF">
            <w:pPr>
              <w:widowControl w:val="0"/>
              <w:spacing w:after="0" w:line="240" w:lineRule="auto"/>
              <w:jc w:val="center"/>
              <w:rPr>
                <w:rFonts w:ascii="Times New Roman" w:hAnsi="Times New Roman"/>
                <w:sz w:val="28"/>
                <w:szCs w:val="28"/>
                <w:lang w:val="uk-UA"/>
              </w:rPr>
            </w:pPr>
            <w:r w:rsidRPr="00047AD6">
              <w:rPr>
                <w:rFonts w:ascii="Times New Roman" w:hAnsi="Times New Roman"/>
                <w:sz w:val="28"/>
                <w:szCs w:val="28"/>
                <w:lang w:val="uk-UA"/>
              </w:rPr>
              <w:t>4,286±0,0421</w:t>
            </w:r>
          </w:p>
        </w:tc>
      </w:tr>
      <w:tr w:rsidR="00012F54" w:rsidRPr="00047AD6" w:rsidTr="00012F54">
        <w:trPr>
          <w:jc w:val="center"/>
        </w:trPr>
        <w:tc>
          <w:tcPr>
            <w:tcW w:w="6516" w:type="dxa"/>
            <w:vAlign w:val="center"/>
          </w:tcPr>
          <w:p w:rsidR="00012F54" w:rsidRPr="00047AD6" w:rsidRDefault="00012F54" w:rsidP="00406EAF">
            <w:pPr>
              <w:widowControl w:val="0"/>
              <w:spacing w:after="0" w:line="240" w:lineRule="auto"/>
              <w:rPr>
                <w:rFonts w:ascii="Times New Roman" w:hAnsi="Times New Roman"/>
                <w:sz w:val="28"/>
                <w:szCs w:val="28"/>
                <w:lang w:val="uk-UA"/>
              </w:rPr>
            </w:pPr>
            <w:r w:rsidRPr="00047AD6">
              <w:rPr>
                <w:rFonts w:ascii="Times New Roman" w:hAnsi="Times New Roman"/>
                <w:sz w:val="28"/>
                <w:szCs w:val="28"/>
                <w:lang w:val="uk-UA"/>
              </w:rPr>
              <w:t xml:space="preserve">САК + 0,9% NаСІ, 2 мл/кг </w:t>
            </w:r>
          </w:p>
          <w:p w:rsidR="00012F54" w:rsidRPr="00047AD6" w:rsidRDefault="00012F54" w:rsidP="00406EAF">
            <w:pPr>
              <w:widowControl w:val="0"/>
              <w:spacing w:after="0" w:line="240" w:lineRule="auto"/>
              <w:rPr>
                <w:rFonts w:ascii="Times New Roman" w:hAnsi="Times New Roman"/>
                <w:b/>
                <w:sz w:val="28"/>
                <w:szCs w:val="28"/>
                <w:lang w:val="uk-UA"/>
              </w:rPr>
            </w:pPr>
            <w:r w:rsidRPr="00047AD6">
              <w:rPr>
                <w:rFonts w:ascii="Times New Roman" w:hAnsi="Times New Roman"/>
                <w:sz w:val="28"/>
                <w:szCs w:val="28"/>
                <w:lang w:val="uk-UA"/>
              </w:rPr>
              <w:t>(група контрольної патології) (n=7)</w:t>
            </w:r>
          </w:p>
        </w:tc>
        <w:tc>
          <w:tcPr>
            <w:tcW w:w="2979" w:type="dxa"/>
            <w:vAlign w:val="center"/>
          </w:tcPr>
          <w:p w:rsidR="00012F54" w:rsidRPr="00047AD6" w:rsidRDefault="00012F54" w:rsidP="00406EAF">
            <w:pPr>
              <w:widowControl w:val="0"/>
              <w:spacing w:after="0" w:line="240" w:lineRule="auto"/>
              <w:jc w:val="center"/>
              <w:rPr>
                <w:rFonts w:ascii="Times New Roman" w:hAnsi="Times New Roman"/>
                <w:sz w:val="28"/>
                <w:szCs w:val="28"/>
                <w:lang w:val="uk-UA"/>
              </w:rPr>
            </w:pPr>
            <w:r w:rsidRPr="00047AD6">
              <w:rPr>
                <w:rFonts w:ascii="Times New Roman" w:hAnsi="Times New Roman"/>
                <w:sz w:val="28"/>
                <w:szCs w:val="28"/>
                <w:lang w:val="uk-UA"/>
              </w:rPr>
              <w:t>16,429±0,571 º</w:t>
            </w:r>
          </w:p>
        </w:tc>
      </w:tr>
      <w:tr w:rsidR="00012F54" w:rsidRPr="00047AD6" w:rsidTr="00012F54">
        <w:trPr>
          <w:jc w:val="center"/>
        </w:trPr>
        <w:tc>
          <w:tcPr>
            <w:tcW w:w="6516" w:type="dxa"/>
            <w:vAlign w:val="center"/>
          </w:tcPr>
          <w:p w:rsidR="00012F54" w:rsidRPr="00047AD6" w:rsidRDefault="00012F54" w:rsidP="00406EAF">
            <w:pPr>
              <w:widowControl w:val="0"/>
              <w:spacing w:after="0" w:line="240" w:lineRule="auto"/>
              <w:rPr>
                <w:rFonts w:ascii="Times New Roman" w:hAnsi="Times New Roman"/>
                <w:b/>
                <w:sz w:val="28"/>
                <w:szCs w:val="28"/>
                <w:lang w:val="uk-UA"/>
              </w:rPr>
            </w:pPr>
            <w:r w:rsidRPr="00047AD6">
              <w:rPr>
                <w:rFonts w:ascii="Times New Roman" w:hAnsi="Times New Roman"/>
                <w:sz w:val="28"/>
                <w:szCs w:val="28"/>
                <w:lang w:val="uk-UA"/>
              </w:rPr>
              <w:t>САК</w:t>
            </w:r>
            <w:r w:rsidRPr="00047AD6">
              <w:rPr>
                <w:rFonts w:ascii="Times New Roman" w:hAnsi="Times New Roman"/>
                <w:b/>
                <w:sz w:val="28"/>
                <w:szCs w:val="28"/>
                <w:lang w:val="uk-UA"/>
              </w:rPr>
              <w:t xml:space="preserve"> + </w:t>
            </w:r>
            <w:r w:rsidRPr="00047AD6">
              <w:rPr>
                <w:rFonts w:ascii="Times New Roman" w:hAnsi="Times New Roman"/>
                <w:sz w:val="28"/>
                <w:szCs w:val="28"/>
                <w:lang w:val="uk-UA"/>
              </w:rPr>
              <w:t>адемол, 2 мг⁄кг (n=7)</w:t>
            </w:r>
          </w:p>
        </w:tc>
        <w:tc>
          <w:tcPr>
            <w:tcW w:w="2979" w:type="dxa"/>
            <w:vAlign w:val="center"/>
          </w:tcPr>
          <w:p w:rsidR="00012F54" w:rsidRPr="00047AD6" w:rsidRDefault="00012F54" w:rsidP="00406EAF">
            <w:pPr>
              <w:widowControl w:val="0"/>
              <w:spacing w:after="0" w:line="240" w:lineRule="auto"/>
              <w:jc w:val="center"/>
              <w:rPr>
                <w:rFonts w:ascii="Times New Roman" w:hAnsi="Times New Roman"/>
                <w:sz w:val="28"/>
                <w:szCs w:val="28"/>
                <w:lang w:val="uk-UA"/>
              </w:rPr>
            </w:pPr>
            <w:r w:rsidRPr="00047AD6">
              <w:rPr>
                <w:rFonts w:ascii="Times New Roman" w:hAnsi="Times New Roman"/>
                <w:sz w:val="28"/>
                <w:szCs w:val="28"/>
                <w:lang w:val="uk-UA"/>
              </w:rPr>
              <w:t>5,714±0,286 º*</w:t>
            </w:r>
            <w:r w:rsidRPr="00047AD6">
              <w:rPr>
                <w:rFonts w:ascii="Times New Roman" w:hAnsi="Times New Roman"/>
                <w:sz w:val="28"/>
                <w:szCs w:val="28"/>
                <w:vertAlign w:val="superscript"/>
                <w:lang w:val="uk-UA"/>
              </w:rPr>
              <w:t>#&amp;α</w:t>
            </w:r>
          </w:p>
        </w:tc>
      </w:tr>
      <w:tr w:rsidR="00012F54" w:rsidRPr="00047AD6" w:rsidTr="00012F54">
        <w:trPr>
          <w:jc w:val="center"/>
        </w:trPr>
        <w:tc>
          <w:tcPr>
            <w:tcW w:w="6516" w:type="dxa"/>
            <w:vAlign w:val="center"/>
          </w:tcPr>
          <w:p w:rsidR="00012F54" w:rsidRPr="00047AD6" w:rsidRDefault="00012F54" w:rsidP="00406EAF">
            <w:pPr>
              <w:widowControl w:val="0"/>
              <w:spacing w:after="0" w:line="240" w:lineRule="auto"/>
              <w:rPr>
                <w:rFonts w:ascii="Times New Roman" w:hAnsi="Times New Roman"/>
                <w:b/>
                <w:sz w:val="28"/>
                <w:szCs w:val="28"/>
                <w:lang w:val="uk-UA"/>
              </w:rPr>
            </w:pPr>
            <w:r w:rsidRPr="00047AD6">
              <w:rPr>
                <w:rFonts w:ascii="Times New Roman" w:hAnsi="Times New Roman"/>
                <w:sz w:val="28"/>
                <w:szCs w:val="28"/>
                <w:lang w:val="uk-UA"/>
              </w:rPr>
              <w:t>САК + німодипін, 30 мкг⁄кг (n=7)</w:t>
            </w:r>
          </w:p>
        </w:tc>
        <w:tc>
          <w:tcPr>
            <w:tcW w:w="2979" w:type="dxa"/>
            <w:vAlign w:val="center"/>
          </w:tcPr>
          <w:p w:rsidR="00012F54" w:rsidRPr="00047AD6" w:rsidRDefault="00012F54" w:rsidP="00406EAF">
            <w:pPr>
              <w:widowControl w:val="0"/>
              <w:spacing w:after="0" w:line="240" w:lineRule="auto"/>
              <w:jc w:val="center"/>
              <w:rPr>
                <w:rFonts w:ascii="Times New Roman" w:hAnsi="Times New Roman"/>
                <w:sz w:val="28"/>
                <w:szCs w:val="28"/>
                <w:lang w:val="uk-UA"/>
              </w:rPr>
            </w:pPr>
            <w:r w:rsidRPr="00047AD6">
              <w:rPr>
                <w:rFonts w:ascii="Times New Roman" w:hAnsi="Times New Roman"/>
                <w:sz w:val="28"/>
                <w:szCs w:val="28"/>
                <w:lang w:val="uk-UA"/>
              </w:rPr>
              <w:t>7,268±0,42119º*</w:t>
            </w:r>
            <w:r w:rsidRPr="00047AD6">
              <w:rPr>
                <w:rFonts w:ascii="Times New Roman" w:hAnsi="Times New Roman"/>
                <w:sz w:val="28"/>
                <w:szCs w:val="28"/>
                <w:vertAlign w:val="superscript"/>
                <w:lang w:val="uk-UA"/>
              </w:rPr>
              <w:t>#&amp;</w:t>
            </w:r>
          </w:p>
        </w:tc>
      </w:tr>
      <w:tr w:rsidR="00012F54" w:rsidRPr="00047AD6" w:rsidTr="00012F54">
        <w:trPr>
          <w:jc w:val="center"/>
        </w:trPr>
        <w:tc>
          <w:tcPr>
            <w:tcW w:w="6516" w:type="dxa"/>
            <w:vAlign w:val="center"/>
          </w:tcPr>
          <w:p w:rsidR="00012F54" w:rsidRPr="00047AD6" w:rsidRDefault="00012F54" w:rsidP="00406EAF">
            <w:pPr>
              <w:widowControl w:val="0"/>
              <w:spacing w:after="0" w:line="240" w:lineRule="auto"/>
              <w:rPr>
                <w:rFonts w:ascii="Times New Roman" w:hAnsi="Times New Roman"/>
                <w:sz w:val="28"/>
                <w:szCs w:val="28"/>
                <w:lang w:val="uk-UA"/>
              </w:rPr>
            </w:pPr>
            <w:r w:rsidRPr="00047AD6">
              <w:rPr>
                <w:rFonts w:ascii="Times New Roman" w:hAnsi="Times New Roman"/>
                <w:sz w:val="28"/>
                <w:szCs w:val="28"/>
                <w:lang w:val="uk-UA"/>
              </w:rPr>
              <w:t>САК + амантадину сульфат, 10 мг⁄кг (n=7)</w:t>
            </w:r>
          </w:p>
        </w:tc>
        <w:tc>
          <w:tcPr>
            <w:tcW w:w="2979" w:type="dxa"/>
            <w:vAlign w:val="center"/>
          </w:tcPr>
          <w:p w:rsidR="00012F54" w:rsidRPr="00047AD6" w:rsidRDefault="00012F54" w:rsidP="00406EAF">
            <w:pPr>
              <w:widowControl w:val="0"/>
              <w:spacing w:after="0" w:line="240" w:lineRule="auto"/>
              <w:jc w:val="center"/>
              <w:rPr>
                <w:rFonts w:ascii="Times New Roman" w:hAnsi="Times New Roman"/>
                <w:sz w:val="28"/>
                <w:szCs w:val="28"/>
                <w:lang w:val="uk-UA"/>
              </w:rPr>
            </w:pPr>
            <w:r w:rsidRPr="00047AD6">
              <w:rPr>
                <w:rFonts w:ascii="Times New Roman" w:hAnsi="Times New Roman"/>
                <w:sz w:val="28"/>
                <w:szCs w:val="28"/>
                <w:lang w:val="uk-UA"/>
              </w:rPr>
              <w:t>10,286±0,421 º*</w:t>
            </w:r>
            <w:r w:rsidRPr="00047AD6">
              <w:rPr>
                <w:rFonts w:ascii="Times New Roman" w:hAnsi="Times New Roman"/>
                <w:sz w:val="28"/>
                <w:szCs w:val="28"/>
                <w:vertAlign w:val="superscript"/>
                <w:lang w:val="uk-UA"/>
              </w:rPr>
              <w:t>#</w:t>
            </w:r>
          </w:p>
        </w:tc>
      </w:tr>
      <w:tr w:rsidR="00012F54" w:rsidRPr="00047AD6" w:rsidTr="00012F54">
        <w:trPr>
          <w:jc w:val="center"/>
        </w:trPr>
        <w:tc>
          <w:tcPr>
            <w:tcW w:w="6516" w:type="dxa"/>
            <w:vAlign w:val="center"/>
          </w:tcPr>
          <w:p w:rsidR="00012F54" w:rsidRPr="00047AD6" w:rsidRDefault="00012F54" w:rsidP="00406EAF">
            <w:pPr>
              <w:widowControl w:val="0"/>
              <w:spacing w:after="0" w:line="240" w:lineRule="auto"/>
              <w:rPr>
                <w:rFonts w:ascii="Times New Roman" w:hAnsi="Times New Roman"/>
                <w:sz w:val="28"/>
                <w:szCs w:val="28"/>
                <w:lang w:val="uk-UA"/>
              </w:rPr>
            </w:pPr>
            <w:r w:rsidRPr="00047AD6">
              <w:rPr>
                <w:rFonts w:ascii="Times New Roman" w:hAnsi="Times New Roman"/>
                <w:sz w:val="28"/>
                <w:szCs w:val="28"/>
                <w:lang w:val="uk-UA"/>
              </w:rPr>
              <w:t>САК + магнію сульфат, 250 мг⁄кг (n=7)</w:t>
            </w:r>
          </w:p>
        </w:tc>
        <w:tc>
          <w:tcPr>
            <w:tcW w:w="2979" w:type="dxa"/>
            <w:vAlign w:val="center"/>
          </w:tcPr>
          <w:p w:rsidR="00012F54" w:rsidRPr="00047AD6" w:rsidRDefault="00012F54" w:rsidP="00406EAF">
            <w:pPr>
              <w:widowControl w:val="0"/>
              <w:spacing w:after="0" w:line="240" w:lineRule="auto"/>
              <w:jc w:val="center"/>
              <w:rPr>
                <w:rFonts w:ascii="Times New Roman" w:hAnsi="Times New Roman"/>
                <w:sz w:val="28"/>
                <w:szCs w:val="28"/>
                <w:lang w:val="uk-UA"/>
              </w:rPr>
            </w:pPr>
            <w:r w:rsidRPr="00047AD6">
              <w:rPr>
                <w:rFonts w:ascii="Times New Roman" w:hAnsi="Times New Roman"/>
                <w:sz w:val="28"/>
                <w:szCs w:val="28"/>
                <w:lang w:val="uk-UA"/>
              </w:rPr>
              <w:t>10,571±0,369 º*</w:t>
            </w:r>
          </w:p>
        </w:tc>
      </w:tr>
    </w:tbl>
    <w:p w:rsidR="00012F54" w:rsidRPr="0036311A" w:rsidRDefault="00012F54" w:rsidP="0036311A">
      <w:pPr>
        <w:widowControl w:val="0"/>
        <w:tabs>
          <w:tab w:val="left" w:pos="1080"/>
        </w:tabs>
        <w:spacing w:before="60" w:after="60" w:line="240" w:lineRule="auto"/>
        <w:ind w:firstLine="284"/>
        <w:jc w:val="both"/>
        <w:rPr>
          <w:rFonts w:ascii="Times New Roman" w:hAnsi="Times New Roman"/>
          <w:sz w:val="28"/>
          <w:szCs w:val="28"/>
          <w:lang w:val="uk-UA"/>
        </w:rPr>
      </w:pPr>
    </w:p>
    <w:p w:rsidR="00012F54" w:rsidRPr="00047AD6" w:rsidRDefault="00012F54" w:rsidP="00B065B6">
      <w:pPr>
        <w:widowControl w:val="0"/>
        <w:tabs>
          <w:tab w:val="left" w:pos="1080"/>
        </w:tabs>
        <w:spacing w:after="0" w:line="240" w:lineRule="auto"/>
        <w:ind w:firstLine="284"/>
        <w:jc w:val="both"/>
        <w:rPr>
          <w:rFonts w:ascii="Times New Roman" w:hAnsi="Times New Roman"/>
          <w:sz w:val="28"/>
          <w:szCs w:val="28"/>
          <w:lang w:val="uk-UA"/>
        </w:rPr>
      </w:pPr>
      <w:r w:rsidRPr="00047AD6">
        <w:rPr>
          <w:rFonts w:ascii="Times New Roman" w:hAnsi="Times New Roman"/>
          <w:sz w:val="28"/>
          <w:szCs w:val="28"/>
          <w:lang w:val="uk-UA"/>
        </w:rPr>
        <w:t>Примітки:</w:t>
      </w:r>
    </w:p>
    <w:p w:rsidR="00012F54" w:rsidRPr="00047AD6" w:rsidRDefault="00012F54" w:rsidP="00473231">
      <w:pPr>
        <w:pStyle w:val="a5"/>
        <w:widowControl w:val="0"/>
        <w:numPr>
          <w:ilvl w:val="0"/>
          <w:numId w:val="15"/>
        </w:numPr>
        <w:tabs>
          <w:tab w:val="left" w:pos="567"/>
          <w:tab w:val="left" w:pos="993"/>
          <w:tab w:val="left" w:pos="1843"/>
        </w:tabs>
        <w:spacing w:after="0" w:line="360" w:lineRule="auto"/>
        <w:ind w:left="709" w:firstLine="0"/>
        <w:jc w:val="both"/>
        <w:rPr>
          <w:rFonts w:ascii="Times New Roman" w:hAnsi="Times New Roman"/>
          <w:sz w:val="28"/>
          <w:szCs w:val="28"/>
          <w:lang w:val="uk-UA"/>
        </w:rPr>
      </w:pPr>
      <w:r w:rsidRPr="00047AD6">
        <w:rPr>
          <w:rFonts w:ascii="Times New Roman" w:hAnsi="Times New Roman"/>
          <w:sz w:val="28"/>
          <w:szCs w:val="28"/>
          <w:lang w:val="uk-UA"/>
        </w:rPr>
        <w:t>º – р&lt;0,05 відносно псевдооперованих тварин;</w:t>
      </w:r>
    </w:p>
    <w:p w:rsidR="00012F54" w:rsidRPr="00047AD6" w:rsidRDefault="009C1175" w:rsidP="00473231">
      <w:pPr>
        <w:widowControl w:val="0"/>
        <w:tabs>
          <w:tab w:val="left" w:pos="1276"/>
        </w:tabs>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2</w:t>
      </w:r>
      <w:r w:rsidR="00012F54" w:rsidRPr="00047AD6">
        <w:rPr>
          <w:rFonts w:ascii="Times New Roman" w:hAnsi="Times New Roman"/>
          <w:sz w:val="28"/>
          <w:szCs w:val="28"/>
          <w:lang w:val="uk-UA"/>
        </w:rPr>
        <w:t>.* – р&lt;0,05 відносно контрольної патології;</w:t>
      </w:r>
    </w:p>
    <w:p w:rsidR="00012F54" w:rsidRPr="00047AD6" w:rsidRDefault="009C1175" w:rsidP="00473231">
      <w:pPr>
        <w:widowControl w:val="0"/>
        <w:tabs>
          <w:tab w:val="left" w:pos="1276"/>
        </w:tabs>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3</w:t>
      </w:r>
      <w:r w:rsidR="00012F54" w:rsidRPr="00047AD6">
        <w:rPr>
          <w:rFonts w:ascii="Times New Roman" w:hAnsi="Times New Roman"/>
          <w:sz w:val="28"/>
          <w:szCs w:val="28"/>
          <w:lang w:val="uk-UA"/>
        </w:rPr>
        <w:t xml:space="preserve">. </w:t>
      </w:r>
      <w:r w:rsidR="00012F54" w:rsidRPr="00047AD6">
        <w:rPr>
          <w:rFonts w:ascii="Times New Roman" w:hAnsi="Times New Roman"/>
          <w:sz w:val="28"/>
          <w:szCs w:val="28"/>
          <w:vertAlign w:val="superscript"/>
          <w:lang w:val="uk-UA"/>
        </w:rPr>
        <w:t xml:space="preserve"># </w:t>
      </w:r>
      <w:r w:rsidR="00012F54" w:rsidRPr="00047AD6">
        <w:rPr>
          <w:rFonts w:ascii="Times New Roman" w:hAnsi="Times New Roman"/>
          <w:sz w:val="28"/>
          <w:szCs w:val="28"/>
          <w:lang w:val="uk-UA"/>
        </w:rPr>
        <w:t>– р&lt;0,05 відносно магнію сульфату (250 мг/кг);</w:t>
      </w:r>
    </w:p>
    <w:p w:rsidR="00012F54" w:rsidRPr="00047AD6" w:rsidRDefault="009C1175" w:rsidP="00473231">
      <w:pPr>
        <w:widowControl w:val="0"/>
        <w:tabs>
          <w:tab w:val="left" w:pos="1276"/>
        </w:tabs>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4</w:t>
      </w:r>
      <w:r w:rsidR="00012F54" w:rsidRPr="00047AD6">
        <w:rPr>
          <w:rFonts w:ascii="Times New Roman" w:hAnsi="Times New Roman"/>
          <w:sz w:val="28"/>
          <w:szCs w:val="28"/>
          <w:lang w:val="uk-UA"/>
        </w:rPr>
        <w:t xml:space="preserve">. </w:t>
      </w:r>
      <w:r w:rsidR="00012F54" w:rsidRPr="00047AD6">
        <w:rPr>
          <w:rFonts w:ascii="Times New Roman" w:hAnsi="Times New Roman"/>
          <w:sz w:val="28"/>
          <w:szCs w:val="28"/>
          <w:vertAlign w:val="superscript"/>
          <w:lang w:val="uk-UA"/>
        </w:rPr>
        <w:t>&amp;</w:t>
      </w:r>
      <w:r w:rsidR="00012F54" w:rsidRPr="00047AD6">
        <w:rPr>
          <w:rFonts w:ascii="Times New Roman" w:hAnsi="Times New Roman"/>
          <w:sz w:val="28"/>
          <w:szCs w:val="28"/>
          <w:lang w:val="uk-UA"/>
        </w:rPr>
        <w:t>– р&lt;0,05 відносно амантадину сульфату (10 мг/кг);</w:t>
      </w:r>
    </w:p>
    <w:p w:rsidR="00012F54" w:rsidRPr="00047AD6" w:rsidRDefault="009C1175" w:rsidP="00473231">
      <w:pPr>
        <w:widowControl w:val="0"/>
        <w:tabs>
          <w:tab w:val="left" w:pos="1276"/>
        </w:tabs>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5</w:t>
      </w:r>
      <w:r w:rsidR="00012F54" w:rsidRPr="00047AD6">
        <w:rPr>
          <w:rFonts w:ascii="Times New Roman" w:hAnsi="Times New Roman"/>
          <w:sz w:val="28"/>
          <w:szCs w:val="28"/>
          <w:lang w:val="uk-UA"/>
        </w:rPr>
        <w:t>. α – р&lt;0,05 відносно німодипіну (30 мкг⁄кг)</w:t>
      </w:r>
      <w:r w:rsidR="00012F54">
        <w:rPr>
          <w:rFonts w:ascii="Times New Roman" w:hAnsi="Times New Roman"/>
          <w:sz w:val="28"/>
          <w:szCs w:val="28"/>
          <w:lang w:val="uk-UA"/>
        </w:rPr>
        <w:t>;</w:t>
      </w:r>
    </w:p>
    <w:p w:rsidR="00012F54" w:rsidRPr="009C1175" w:rsidRDefault="009C1175" w:rsidP="00473231">
      <w:pPr>
        <w:pStyle w:val="a5"/>
        <w:widowControl w:val="0"/>
        <w:tabs>
          <w:tab w:val="left" w:pos="851"/>
        </w:tabs>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6.</w:t>
      </w:r>
      <w:r w:rsidR="00012F54" w:rsidRPr="009C1175">
        <w:rPr>
          <w:rFonts w:ascii="Times New Roman" w:hAnsi="Times New Roman"/>
          <w:sz w:val="28"/>
          <w:szCs w:val="28"/>
          <w:lang w:val="en-US"/>
        </w:rPr>
        <w:t>n</w:t>
      </w:r>
      <w:r w:rsidR="00012F54" w:rsidRPr="009C1175">
        <w:rPr>
          <w:rFonts w:ascii="Times New Roman" w:hAnsi="Times New Roman"/>
          <w:sz w:val="28"/>
          <w:szCs w:val="28"/>
        </w:rPr>
        <w:t xml:space="preserve"> –</w:t>
      </w:r>
      <w:r w:rsidR="00012F54" w:rsidRPr="009C1175">
        <w:rPr>
          <w:rFonts w:ascii="Times New Roman" w:hAnsi="Times New Roman"/>
          <w:sz w:val="28"/>
          <w:szCs w:val="28"/>
          <w:lang w:val="uk-UA"/>
        </w:rPr>
        <w:t xml:space="preserve"> кількість тварин в групі.</w:t>
      </w:r>
    </w:p>
    <w:p w:rsidR="00012F54" w:rsidRPr="0036311A" w:rsidRDefault="00012F54" w:rsidP="00B065B6">
      <w:pPr>
        <w:widowControl w:val="0"/>
        <w:tabs>
          <w:tab w:val="left" w:pos="1276"/>
        </w:tabs>
        <w:spacing w:after="0" w:line="360" w:lineRule="auto"/>
        <w:ind w:firstLine="284"/>
        <w:jc w:val="both"/>
        <w:rPr>
          <w:rFonts w:ascii="Times New Roman" w:hAnsi="Times New Roman"/>
          <w:sz w:val="28"/>
          <w:szCs w:val="28"/>
          <w:lang w:val="uk-UA"/>
        </w:rPr>
      </w:pPr>
    </w:p>
    <w:p w:rsidR="00F761BB" w:rsidRPr="009C3AA9" w:rsidRDefault="00F761BB" w:rsidP="00F761BB">
      <w:pPr>
        <w:widowControl w:val="0"/>
        <w:spacing w:after="0" w:line="360" w:lineRule="auto"/>
        <w:ind w:firstLine="284"/>
        <w:jc w:val="both"/>
        <w:rPr>
          <w:rFonts w:ascii="Times New Roman" w:hAnsi="Times New Roman"/>
          <w:sz w:val="28"/>
          <w:szCs w:val="28"/>
          <w:lang w:val="uk-UA"/>
        </w:rPr>
      </w:pPr>
      <w:r>
        <w:rPr>
          <w:rFonts w:ascii="Times New Roman" w:hAnsi="Times New Roman"/>
          <w:sz w:val="28"/>
          <w:szCs w:val="28"/>
          <w:lang w:val="uk-UA"/>
        </w:rPr>
        <w:t xml:space="preserve">Паралельно, терапія </w:t>
      </w:r>
      <w:r w:rsidRPr="009C3AA9">
        <w:rPr>
          <w:rFonts w:ascii="Times New Roman" w:hAnsi="Times New Roman"/>
          <w:sz w:val="28"/>
          <w:szCs w:val="28"/>
          <w:lang w:val="uk-UA"/>
        </w:rPr>
        <w:t xml:space="preserve">німодипіном, який за величиною своїх нейропротектоних </w:t>
      </w:r>
      <w:r w:rsidRPr="009C3AA9">
        <w:rPr>
          <w:rFonts w:ascii="Times New Roman" w:hAnsi="Times New Roman"/>
          <w:sz w:val="28"/>
          <w:szCs w:val="28"/>
          <w:lang w:val="uk-UA"/>
        </w:rPr>
        <w:lastRenderedPageBreak/>
        <w:t>якостей, із поміж інших препаратів порівняння, найбільшою мірою співвідноситься із адемолом, сприяє деескалації цього показника гірше ніж адамантан, поступаючись останньому в середньому у 1,27 рази, р&lt;0,05. Разом із цим, на тлі німодипіну ВЧТ виявився вірогідно нижчим відносно значень у групі тварин контрольної патології в середньому у 2,26 рази (проти 2,88 у разі застосування адемолу).</w:t>
      </w:r>
    </w:p>
    <w:p w:rsidR="00F761BB" w:rsidRDefault="00F761BB" w:rsidP="00F761BB">
      <w:pPr>
        <w:widowControl w:val="0"/>
        <w:spacing w:after="0" w:line="360" w:lineRule="auto"/>
        <w:ind w:firstLine="284"/>
        <w:jc w:val="both"/>
        <w:rPr>
          <w:rFonts w:ascii="Times New Roman" w:hAnsi="Times New Roman"/>
          <w:sz w:val="28"/>
          <w:szCs w:val="28"/>
          <w:lang w:val="uk-UA"/>
        </w:rPr>
      </w:pPr>
      <w:r w:rsidRPr="009C3AA9">
        <w:rPr>
          <w:rFonts w:ascii="Times New Roman" w:hAnsi="Times New Roman"/>
          <w:sz w:val="28"/>
          <w:szCs w:val="28"/>
          <w:lang w:val="uk-UA"/>
        </w:rPr>
        <w:t>За ступенем депримуючого впливу на формування ВЧТ в умовах САК при введенні решти препаратів, можна зробити висновок, що вони також сприяють деескалації досліджуваного показника відносно контрольної патології в середньому у 1,6 рази (амантадину та магнію сульфат) співставляючись між собою.</w:t>
      </w:r>
    </w:p>
    <w:p w:rsidR="00F761BB" w:rsidRDefault="00012F54" w:rsidP="00F761BB">
      <w:pPr>
        <w:widowControl w:val="0"/>
        <w:spacing w:after="0" w:line="360" w:lineRule="auto"/>
        <w:ind w:firstLine="284"/>
        <w:jc w:val="both"/>
        <w:rPr>
          <w:rFonts w:ascii="Times New Roman" w:hAnsi="Times New Roman"/>
          <w:sz w:val="28"/>
          <w:szCs w:val="28"/>
          <w:lang w:val="uk-UA"/>
        </w:rPr>
      </w:pPr>
      <w:r w:rsidRPr="009C3AA9">
        <w:rPr>
          <w:rFonts w:ascii="Times New Roman" w:hAnsi="Times New Roman"/>
          <w:sz w:val="28"/>
          <w:szCs w:val="28"/>
          <w:lang w:val="uk-UA"/>
        </w:rPr>
        <w:t>Адемол вірогідно в середньому у 1,85 рази перевершує дієвість як амантадину, так і магнію сульфату</w:t>
      </w:r>
      <w:r>
        <w:rPr>
          <w:rFonts w:ascii="Times New Roman" w:hAnsi="Times New Roman"/>
          <w:sz w:val="28"/>
          <w:szCs w:val="28"/>
        </w:rPr>
        <w:t>.</w:t>
      </w:r>
    </w:p>
    <w:p w:rsidR="00012F54" w:rsidRPr="00E24938" w:rsidRDefault="00012F54" w:rsidP="00B065B6">
      <w:pPr>
        <w:widowControl w:val="0"/>
        <w:tabs>
          <w:tab w:val="left" w:pos="1276"/>
        </w:tabs>
        <w:spacing w:after="0" w:line="360" w:lineRule="auto"/>
        <w:ind w:firstLine="284"/>
        <w:jc w:val="both"/>
        <w:rPr>
          <w:rFonts w:ascii="Times New Roman" w:hAnsi="Times New Roman"/>
          <w:sz w:val="28"/>
          <w:szCs w:val="28"/>
        </w:rPr>
      </w:pPr>
    </w:p>
    <w:p w:rsidR="00012F54" w:rsidRDefault="00012F54" w:rsidP="00012F54">
      <w:pPr>
        <w:spacing w:after="160" w:line="259" w:lineRule="auto"/>
        <w:rPr>
          <w:rFonts w:ascii="Times New Roman" w:hAnsi="Times New Roman"/>
          <w:b/>
          <w:bCs/>
          <w:color w:val="000000"/>
          <w:sz w:val="28"/>
          <w:szCs w:val="28"/>
          <w:lang w:val="uk-UA"/>
        </w:rPr>
      </w:pPr>
      <w:r>
        <w:rPr>
          <w:szCs w:val="28"/>
          <w:lang w:val="uk-UA"/>
        </w:rPr>
        <w:br w:type="page"/>
      </w:r>
    </w:p>
    <w:p w:rsidR="00012F54" w:rsidRPr="00986762" w:rsidRDefault="00012F54" w:rsidP="00B065B6">
      <w:pPr>
        <w:pStyle w:val="2"/>
        <w:spacing w:line="360" w:lineRule="auto"/>
        <w:ind w:firstLine="284"/>
        <w:jc w:val="both"/>
        <w:rPr>
          <w:rFonts w:ascii="Times New Roman" w:hAnsi="Times New Roman" w:cs="Times New Roman"/>
          <w:bCs/>
          <w:color w:val="auto"/>
          <w:sz w:val="28"/>
          <w:szCs w:val="28"/>
          <w:lang w:val="uk-UA"/>
        </w:rPr>
      </w:pPr>
      <w:r w:rsidRPr="00986762">
        <w:rPr>
          <w:rFonts w:ascii="Times New Roman" w:hAnsi="Times New Roman" w:cs="Times New Roman"/>
          <w:bCs/>
          <w:color w:val="auto"/>
          <w:sz w:val="28"/>
          <w:szCs w:val="28"/>
          <w:lang w:val="uk-UA"/>
        </w:rPr>
        <w:lastRenderedPageBreak/>
        <w:t>Висновок до розділу 4</w:t>
      </w:r>
    </w:p>
    <w:p w:rsidR="00EF08E1" w:rsidRDefault="00EF08E1" w:rsidP="00B065B6">
      <w:pPr>
        <w:widowControl w:val="0"/>
        <w:shd w:val="clear" w:color="auto" w:fill="FFFFFF"/>
        <w:spacing w:after="0" w:line="360" w:lineRule="auto"/>
        <w:ind w:firstLine="284"/>
        <w:jc w:val="both"/>
        <w:rPr>
          <w:rFonts w:ascii="Times New Roman" w:hAnsi="Times New Roman"/>
          <w:sz w:val="28"/>
          <w:szCs w:val="28"/>
          <w:lang w:val="uk-UA"/>
        </w:rPr>
      </w:pPr>
    </w:p>
    <w:p w:rsidR="00012F54" w:rsidRPr="009C3AA9" w:rsidRDefault="00012F54" w:rsidP="00B065B6">
      <w:pPr>
        <w:widowControl w:val="0"/>
        <w:shd w:val="clear" w:color="auto" w:fill="FFFFFF"/>
        <w:spacing w:after="0" w:line="360" w:lineRule="auto"/>
        <w:ind w:firstLine="284"/>
        <w:jc w:val="both"/>
        <w:rPr>
          <w:rFonts w:ascii="Times New Roman" w:hAnsi="Times New Roman"/>
          <w:sz w:val="28"/>
          <w:szCs w:val="28"/>
          <w:lang w:val="uk-UA"/>
        </w:rPr>
      </w:pPr>
      <w:r w:rsidRPr="009C3AA9">
        <w:rPr>
          <w:rFonts w:ascii="Times New Roman" w:hAnsi="Times New Roman"/>
          <w:sz w:val="28"/>
          <w:szCs w:val="28"/>
          <w:lang w:val="uk-UA"/>
        </w:rPr>
        <w:t xml:space="preserve">Курсова 4-х денна інфузія щурам із модельним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9C3AA9">
        <w:rPr>
          <w:rFonts w:ascii="Times New Roman" w:hAnsi="Times New Roman"/>
          <w:sz w:val="28"/>
          <w:szCs w:val="28"/>
          <w:lang w:val="uk-UA"/>
        </w:rPr>
        <w:t xml:space="preserve"> 1,0 % розчину адемолу та референс-препарату німодипіну дозами відповідно 2 мг/кг та 30 мкг/кг, запобігала падінню мозкової перфузії, стабілізуючи її рівень на коефіцієнтах мікроциркуляції в корі, більших за такі у групі контрольної патології в середньому в 3,99 та 2,76 рази (внутрішньомозковий крововилив) і у 7,30 та 4,74 разу відповідно при </w:t>
      </w:r>
      <w:r>
        <w:rPr>
          <w:rFonts w:ascii="Times New Roman" w:hAnsi="Times New Roman"/>
          <w:sz w:val="28"/>
          <w:szCs w:val="28"/>
          <w:lang w:val="uk-UA"/>
        </w:rPr>
        <w:t>САК</w:t>
      </w:r>
      <w:r w:rsidRPr="009C3AA9">
        <w:rPr>
          <w:rFonts w:ascii="Times New Roman" w:hAnsi="Times New Roman"/>
          <w:sz w:val="28"/>
          <w:szCs w:val="28"/>
          <w:lang w:val="uk-UA"/>
        </w:rPr>
        <w:t xml:space="preserve"> (р&lt;0,05), що відбувалось на тлі збільшення показника об’ємної швидкості мозкового кровотоку в центральній мозковій артерії відносно групи контрольної патології в середньому на 68,4 % (адемол) та 94,1 % (німодипін), р&lt;0,05. На відміну від німодипіну, на тлі інфузіїадемолу показники центральної гемодинаміки (</w:t>
      </w:r>
      <w:r>
        <w:rPr>
          <w:rFonts w:ascii="Times New Roman" w:hAnsi="Times New Roman"/>
          <w:sz w:val="28"/>
          <w:szCs w:val="28"/>
          <w:lang w:val="uk-UA"/>
        </w:rPr>
        <w:t>АТ</w:t>
      </w:r>
      <w:r w:rsidRPr="009C3AA9">
        <w:rPr>
          <w:rFonts w:ascii="Times New Roman" w:hAnsi="Times New Roman"/>
          <w:sz w:val="28"/>
          <w:szCs w:val="28"/>
          <w:lang w:val="uk-UA"/>
        </w:rPr>
        <w:t xml:space="preserve"> та </w:t>
      </w:r>
      <w:r>
        <w:rPr>
          <w:rFonts w:ascii="Times New Roman" w:hAnsi="Times New Roman"/>
          <w:sz w:val="28"/>
          <w:szCs w:val="28"/>
          <w:lang w:val="uk-UA"/>
        </w:rPr>
        <w:t>ЦВТ</w:t>
      </w:r>
      <w:r w:rsidRPr="009C3AA9">
        <w:rPr>
          <w:rFonts w:ascii="Times New Roman" w:hAnsi="Times New Roman"/>
          <w:sz w:val="28"/>
          <w:szCs w:val="28"/>
          <w:lang w:val="uk-UA"/>
        </w:rPr>
        <w:t xml:space="preserve">), а також рівень насичення крові киснем не мали вірогідних відмінностей порівняно із вихідними рівнями, а за ступенем депримуючого впливу на значення </w:t>
      </w:r>
      <w:r>
        <w:rPr>
          <w:rFonts w:ascii="Times New Roman" w:hAnsi="Times New Roman"/>
          <w:sz w:val="28"/>
          <w:szCs w:val="28"/>
          <w:lang w:val="uk-UA"/>
        </w:rPr>
        <w:t>ВЧТ</w:t>
      </w:r>
      <w:r w:rsidRPr="009C3AA9">
        <w:rPr>
          <w:rFonts w:ascii="Times New Roman" w:hAnsi="Times New Roman"/>
          <w:sz w:val="28"/>
          <w:szCs w:val="28"/>
          <w:lang w:val="uk-UA"/>
        </w:rPr>
        <w:t xml:space="preserve"> в умовах </w:t>
      </w:r>
      <w:r>
        <w:rPr>
          <w:rFonts w:ascii="Times New Roman" w:hAnsi="Times New Roman"/>
          <w:sz w:val="28"/>
          <w:szCs w:val="28"/>
          <w:lang w:val="uk-UA"/>
        </w:rPr>
        <w:t>САК</w:t>
      </w:r>
      <w:r w:rsidRPr="009C3AA9">
        <w:rPr>
          <w:rFonts w:ascii="Times New Roman" w:hAnsi="Times New Roman"/>
          <w:sz w:val="28"/>
          <w:szCs w:val="28"/>
          <w:lang w:val="uk-UA"/>
        </w:rPr>
        <w:t>адемол перевершував ефективність амантадину і магнію сульфату в середньому у 1,85 рази, р&lt;0,05.</w:t>
      </w:r>
    </w:p>
    <w:p w:rsidR="001F0A71" w:rsidRDefault="001F0A71" w:rsidP="00B065B6">
      <w:pPr>
        <w:spacing w:after="160" w:line="259" w:lineRule="auto"/>
        <w:ind w:firstLine="284"/>
        <w:rPr>
          <w:rFonts w:ascii="Times New Roman" w:hAnsi="Times New Roman"/>
          <w:lang w:val="uk-UA"/>
        </w:rPr>
      </w:pPr>
      <w:r>
        <w:rPr>
          <w:rFonts w:ascii="Times New Roman" w:hAnsi="Times New Roman"/>
          <w:lang w:val="uk-UA"/>
        </w:rPr>
        <w:br w:type="page"/>
      </w:r>
    </w:p>
    <w:p w:rsidR="001F0A71" w:rsidRPr="003F5A9A" w:rsidRDefault="001F0A71" w:rsidP="00B065B6">
      <w:pPr>
        <w:pStyle w:val="1"/>
        <w:ind w:firstLine="284"/>
        <w:jc w:val="center"/>
        <w:rPr>
          <w:sz w:val="28"/>
          <w:szCs w:val="28"/>
          <w:lang w:val="uk-UA"/>
        </w:rPr>
      </w:pPr>
      <w:r w:rsidRPr="003F5A9A">
        <w:rPr>
          <w:sz w:val="28"/>
          <w:szCs w:val="28"/>
          <w:lang w:val="uk-UA"/>
        </w:rPr>
        <w:lastRenderedPageBreak/>
        <w:t>РОЗДІЛ 5</w:t>
      </w:r>
    </w:p>
    <w:p w:rsidR="001F0A71" w:rsidRDefault="001F0A71" w:rsidP="00B065B6">
      <w:pPr>
        <w:widowControl w:val="0"/>
        <w:spacing w:after="0" w:line="360" w:lineRule="auto"/>
        <w:ind w:firstLine="284"/>
        <w:jc w:val="center"/>
        <w:rPr>
          <w:rFonts w:ascii="Times New Roman" w:hAnsi="Times New Roman"/>
          <w:b/>
          <w:sz w:val="28"/>
          <w:szCs w:val="28"/>
          <w:lang w:val="uk-UA"/>
        </w:rPr>
      </w:pPr>
      <w:r w:rsidRPr="00367F51">
        <w:rPr>
          <w:rFonts w:ascii="Times New Roman" w:hAnsi="Times New Roman"/>
          <w:b/>
          <w:sz w:val="28"/>
          <w:szCs w:val="28"/>
          <w:lang w:val="uk-UA"/>
        </w:rPr>
        <w:t>МОРФО-ФУНКЦІОНАЛЬНІ ЗМІНИ У ГОЛОВНОМУ МОЗКУ ЩУРІВ ІЗ ІНТРАКРАНІАЛЬНИМ КРОВОВИЛИВОМ НА ТЛІ ТЕРАПІЇ АДЕМОЛОМ ЗА ЙОГО ВПЛИВОМ НА ПРОЦЕСИ НЕЙРОЦИТОЛІЗУ, НЕЙРОАПОПТОЗУ, НЕЙРОПРОЛІФЕРАЦІЇ</w:t>
      </w:r>
    </w:p>
    <w:p w:rsidR="001F0A71" w:rsidRPr="001F0A71" w:rsidRDefault="001F0A71" w:rsidP="00B065B6">
      <w:pPr>
        <w:widowControl w:val="0"/>
        <w:spacing w:after="0" w:line="360" w:lineRule="auto"/>
        <w:ind w:firstLine="284"/>
        <w:jc w:val="both"/>
        <w:rPr>
          <w:rFonts w:ascii="Times New Roman" w:hAnsi="Times New Roman"/>
          <w:b/>
          <w:sz w:val="28"/>
          <w:szCs w:val="28"/>
          <w:lang w:val="uk-UA"/>
        </w:rPr>
      </w:pPr>
    </w:p>
    <w:p w:rsidR="001F0A71" w:rsidRPr="00986762" w:rsidRDefault="001F0A71" w:rsidP="00B065B6">
      <w:pPr>
        <w:pStyle w:val="2"/>
        <w:spacing w:line="360" w:lineRule="auto"/>
        <w:ind w:firstLine="284"/>
        <w:jc w:val="both"/>
        <w:rPr>
          <w:rFonts w:ascii="Times New Roman" w:hAnsi="Times New Roman" w:cs="Times New Roman"/>
          <w:color w:val="auto"/>
          <w:sz w:val="28"/>
          <w:szCs w:val="28"/>
          <w:lang w:val="uk-UA"/>
        </w:rPr>
      </w:pPr>
      <w:r w:rsidRPr="00986762">
        <w:rPr>
          <w:rFonts w:ascii="Times New Roman" w:hAnsi="Times New Roman" w:cs="Times New Roman"/>
          <w:color w:val="auto"/>
          <w:sz w:val="28"/>
          <w:szCs w:val="28"/>
          <w:lang w:val="uk-UA"/>
        </w:rPr>
        <w:t>5.1 Вплив адемолу та референс-препаратів на динаміку нейроцитолізу у головному мозку щурів із внутрішньочерепним крововиливом за вмістом нейрон-специфічної енолази</w:t>
      </w:r>
    </w:p>
    <w:p w:rsidR="001F0A71" w:rsidRDefault="001F0A71" w:rsidP="00B065B6">
      <w:pPr>
        <w:widowControl w:val="0"/>
        <w:tabs>
          <w:tab w:val="left" w:pos="360"/>
        </w:tabs>
        <w:spacing w:after="0" w:line="360" w:lineRule="auto"/>
        <w:ind w:firstLine="284"/>
        <w:jc w:val="both"/>
        <w:rPr>
          <w:rFonts w:ascii="Times New Roman" w:hAnsi="Times New Roman"/>
          <w:sz w:val="28"/>
          <w:szCs w:val="28"/>
          <w:lang w:val="uk-UA"/>
        </w:rPr>
      </w:pPr>
      <w:r w:rsidRPr="001F0A71">
        <w:rPr>
          <w:rFonts w:ascii="Times New Roman" w:hAnsi="Times New Roman"/>
          <w:sz w:val="28"/>
          <w:szCs w:val="28"/>
          <w:lang w:val="uk-UA"/>
        </w:rPr>
        <w:t xml:space="preserve">Аналіз рівня NSE у щурів із САК показав, що через 48 год після моделювання інсульту, рівень NSE вірогідно підвищився відносно аналогічного показника у </w:t>
      </w:r>
      <w:r w:rsidRPr="00FD6349">
        <w:rPr>
          <w:rFonts w:ascii="Times New Roman" w:hAnsi="Times New Roman"/>
          <w:sz w:val="28"/>
          <w:szCs w:val="28"/>
          <w:lang w:val="uk-UA"/>
        </w:rPr>
        <w:t>псевдооперов</w:t>
      </w:r>
      <w:r>
        <w:rPr>
          <w:rFonts w:ascii="Times New Roman" w:hAnsi="Times New Roman"/>
          <w:sz w:val="28"/>
          <w:szCs w:val="28"/>
          <w:lang w:val="uk-UA"/>
        </w:rPr>
        <w:t>аних тварин в середньому у 24,9</w:t>
      </w:r>
      <w:r w:rsidRPr="00FD6349">
        <w:rPr>
          <w:rFonts w:ascii="Times New Roman" w:hAnsi="Times New Roman"/>
          <w:sz w:val="28"/>
          <w:szCs w:val="28"/>
          <w:lang w:val="uk-UA"/>
        </w:rPr>
        <w:t xml:space="preserve"> рази, що засвідчує процес масивної деструкції мембран нейронів (нейродеструкція), табл 5.1. </w:t>
      </w:r>
    </w:p>
    <w:p w:rsidR="009C1175" w:rsidRPr="00FD6349" w:rsidRDefault="009C1175" w:rsidP="00B065B6">
      <w:pPr>
        <w:widowControl w:val="0"/>
        <w:tabs>
          <w:tab w:val="left" w:pos="360"/>
        </w:tabs>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Останнє добре співвідноситься із тим, що за показником летальності цей період є критичним у розвитку САК, а смертність перейшла позначку у 50 %. Лікувальне курсове в/в введення тваринам із САК адемолу умовно-ефективною дозою 2 мг/кг, подібно німодипіну та амантадину сульфату, супроводжувалось менш інтенсивним зростанням рівня NSE: через 48 год вміст ферменту зменшилась відносно групи контрольної патології, відповідно у 2,78</w:t>
      </w:r>
      <w:r>
        <w:rPr>
          <w:rFonts w:ascii="Times New Roman" w:hAnsi="Times New Roman"/>
          <w:sz w:val="28"/>
          <w:szCs w:val="28"/>
          <w:lang w:val="uk-UA"/>
        </w:rPr>
        <w:t>;</w:t>
      </w:r>
      <w:r w:rsidRPr="00FD6349">
        <w:rPr>
          <w:rFonts w:ascii="Times New Roman" w:hAnsi="Times New Roman"/>
          <w:sz w:val="28"/>
          <w:szCs w:val="28"/>
          <w:lang w:val="uk-UA"/>
        </w:rPr>
        <w:t xml:space="preserve"> 1,77</w:t>
      </w:r>
      <w:r>
        <w:rPr>
          <w:rFonts w:ascii="Times New Roman" w:hAnsi="Times New Roman"/>
          <w:sz w:val="28"/>
          <w:szCs w:val="28"/>
          <w:lang w:val="uk-UA"/>
        </w:rPr>
        <w:t>;</w:t>
      </w:r>
      <w:r w:rsidRPr="00FD6349">
        <w:rPr>
          <w:rFonts w:ascii="Times New Roman" w:hAnsi="Times New Roman"/>
          <w:sz w:val="28"/>
          <w:szCs w:val="28"/>
          <w:lang w:val="uk-UA"/>
        </w:rPr>
        <w:t xml:space="preserve"> 1,86 та 1,36 рази, р&lt;0,05. Порівнюючи їх ефективність, можна стверджувати, що за цим параметром (деескалація вмісту енолази) ефективність адемолу була достеменно більшою за таку німодипіну або амантадину сульфату в середньому у 1,57 та 1,49 рази. Найбільші переваги адемол мав порівняно із магнієм сульфатом. На тлі останнього, рівень енолази, порівняно із рештою препаратів виявилась найбільшою, знизившись відносно тварин контрольної патології в середньому у 1,37 рази при вірогідній перевазі адемолу у 2,04 рази.</w:t>
      </w:r>
    </w:p>
    <w:p w:rsidR="009C1175" w:rsidRDefault="009C1175" w:rsidP="00B065B6">
      <w:pPr>
        <w:widowControl w:val="0"/>
        <w:tabs>
          <w:tab w:val="left" w:pos="360"/>
        </w:tabs>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Таким чином, можна зробити заключення, що позитивна динаміка активності NSE на тлі адемолу вказує на його спроможність формування нейродеструктивних змін та збереженню цитоархітектонічної будови мозку, що корелює із високою виживаністю щурів із САК та поліпшенням неврологічного статусу (див. розділ 3).</w:t>
      </w:r>
    </w:p>
    <w:p w:rsidR="009C1175" w:rsidRDefault="009C1175" w:rsidP="009C1175">
      <w:pPr>
        <w:widowControl w:val="0"/>
        <w:tabs>
          <w:tab w:val="left" w:pos="360"/>
        </w:tabs>
        <w:spacing w:after="0" w:line="360" w:lineRule="auto"/>
        <w:ind w:firstLine="709"/>
        <w:jc w:val="both"/>
        <w:rPr>
          <w:rFonts w:ascii="Times New Roman" w:hAnsi="Times New Roman"/>
          <w:sz w:val="28"/>
          <w:szCs w:val="28"/>
          <w:lang w:val="uk-UA"/>
        </w:rPr>
      </w:pPr>
    </w:p>
    <w:p w:rsidR="001F0A71" w:rsidRDefault="001F0A71" w:rsidP="001F0A71">
      <w:pPr>
        <w:widowControl w:val="0"/>
        <w:spacing w:after="0" w:line="360" w:lineRule="auto"/>
        <w:ind w:firstLine="284"/>
        <w:jc w:val="right"/>
        <w:rPr>
          <w:rFonts w:ascii="Times New Roman" w:hAnsi="Times New Roman"/>
          <w:sz w:val="28"/>
          <w:szCs w:val="28"/>
          <w:lang w:val="uk-UA"/>
        </w:rPr>
      </w:pPr>
      <w:r w:rsidRPr="00FD6349">
        <w:rPr>
          <w:rFonts w:ascii="Times New Roman" w:hAnsi="Times New Roman"/>
          <w:sz w:val="28"/>
          <w:szCs w:val="28"/>
          <w:lang w:val="uk-UA"/>
        </w:rPr>
        <w:t>Таблиця 5.1</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FD6349">
        <w:rPr>
          <w:rFonts w:ascii="Times New Roman" w:hAnsi="Times New Roman"/>
          <w:sz w:val="28"/>
          <w:szCs w:val="28"/>
          <w:lang w:val="uk-UA"/>
        </w:rPr>
        <w:t>Вплив адемолута референс-препаратів нарівень нейрон-специфічної енолази</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FD6349">
        <w:rPr>
          <w:rFonts w:ascii="Times New Roman" w:hAnsi="Times New Roman"/>
          <w:sz w:val="28"/>
          <w:szCs w:val="28"/>
          <w:lang w:val="uk-UA"/>
        </w:rPr>
        <w:t xml:space="preserve">у сироватці крові зі стегнової вени щурів із субарахноїдальним крововиливом </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FD6349">
        <w:rPr>
          <w:rFonts w:ascii="Times New Roman" w:hAnsi="Times New Roman"/>
          <w:sz w:val="28"/>
          <w:szCs w:val="28"/>
          <w:lang w:val="uk-UA"/>
        </w:rPr>
        <w:t>у критичний період інсульту (48 год експерименту) M±m</w:t>
      </w:r>
      <w:r>
        <w:rPr>
          <w:rFonts w:ascii="Times New Roman" w:hAnsi="Times New Roman"/>
          <w:sz w:val="28"/>
          <w:szCs w:val="28"/>
          <w:lang w:val="uk-UA"/>
        </w:rPr>
        <w:t xml:space="preserve"> (</w:t>
      </w:r>
      <w:r w:rsidRPr="00E26341">
        <w:rPr>
          <w:rFonts w:ascii="Times New Roman" w:hAnsi="Times New Roman"/>
          <w:sz w:val="28"/>
          <w:szCs w:val="28"/>
          <w:lang w:val="uk-UA"/>
        </w:rPr>
        <w:t>n=</w:t>
      </w:r>
      <w:r>
        <w:rPr>
          <w:rFonts w:ascii="Times New Roman" w:hAnsi="Times New Roman"/>
          <w:sz w:val="28"/>
          <w:szCs w:val="28"/>
          <w:lang w:val="uk-UA"/>
        </w:rPr>
        <w:t>7)</w:t>
      </w:r>
    </w:p>
    <w:p w:rsidR="0036311A" w:rsidRDefault="0036311A" w:rsidP="001F0A71">
      <w:pPr>
        <w:widowControl w:val="0"/>
        <w:spacing w:after="0" w:line="360" w:lineRule="auto"/>
        <w:ind w:firstLine="284"/>
        <w:jc w:val="center"/>
        <w:rPr>
          <w:rFonts w:ascii="Times New Roman" w:hAnsi="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3"/>
        <w:gridCol w:w="2835"/>
      </w:tblGrid>
      <w:tr w:rsidR="001F0A71" w:rsidRPr="00FD6349" w:rsidTr="001F0A71">
        <w:trPr>
          <w:trHeight w:val="654"/>
          <w:jc w:val="center"/>
        </w:trPr>
        <w:tc>
          <w:tcPr>
            <w:tcW w:w="7083"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Групи тварин</w:t>
            </w:r>
          </w:p>
        </w:tc>
        <w:tc>
          <w:tcPr>
            <w:tcW w:w="2835"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Рівень нейрон-специфічної енолази, нг/мл</w:t>
            </w:r>
          </w:p>
        </w:tc>
      </w:tr>
      <w:tr w:rsidR="001F0A71" w:rsidRPr="00FD6349" w:rsidTr="001F0A71">
        <w:trPr>
          <w:jc w:val="center"/>
        </w:trPr>
        <w:tc>
          <w:tcPr>
            <w:tcW w:w="7083" w:type="dxa"/>
            <w:vAlign w:val="center"/>
          </w:tcPr>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Псевдооперовані тварини + 0,9% NаСІ, 2 мл/кг</w:t>
            </w:r>
          </w:p>
        </w:tc>
        <w:tc>
          <w:tcPr>
            <w:tcW w:w="2835"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0,196±0,011</w:t>
            </w:r>
          </w:p>
        </w:tc>
      </w:tr>
      <w:tr w:rsidR="001F0A71" w:rsidRPr="00FD6349" w:rsidTr="001F0A71">
        <w:trPr>
          <w:jc w:val="center"/>
        </w:trPr>
        <w:tc>
          <w:tcPr>
            <w:tcW w:w="7083" w:type="dxa"/>
            <w:vAlign w:val="center"/>
          </w:tcPr>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САК + 0,9% NаСІ, 2 мл/кг(група контрольної патології)</w:t>
            </w:r>
          </w:p>
        </w:tc>
        <w:tc>
          <w:tcPr>
            <w:tcW w:w="2835"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4,889±0,139 º</w:t>
            </w:r>
          </w:p>
        </w:tc>
      </w:tr>
      <w:tr w:rsidR="001F0A71" w:rsidRPr="00FD6349" w:rsidTr="001F0A71">
        <w:trPr>
          <w:jc w:val="center"/>
        </w:trPr>
        <w:tc>
          <w:tcPr>
            <w:tcW w:w="7083" w:type="dxa"/>
            <w:vAlign w:val="center"/>
          </w:tcPr>
          <w:p w:rsidR="001F0A71" w:rsidRPr="00FD6349" w:rsidRDefault="001F0A71" w:rsidP="0036311A">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САК</w:t>
            </w:r>
            <w:r w:rsidRPr="00FD6349">
              <w:rPr>
                <w:rFonts w:ascii="Times New Roman" w:hAnsi="Times New Roman"/>
                <w:b/>
                <w:sz w:val="28"/>
                <w:szCs w:val="28"/>
                <w:lang w:val="uk-UA"/>
              </w:rPr>
              <w:t xml:space="preserve"> + </w:t>
            </w:r>
            <w:r w:rsidRPr="00FD6349">
              <w:rPr>
                <w:rFonts w:ascii="Times New Roman" w:hAnsi="Times New Roman"/>
                <w:sz w:val="28"/>
                <w:szCs w:val="28"/>
                <w:lang w:val="uk-UA"/>
              </w:rPr>
              <w:t xml:space="preserve">адемол, 2 мг⁄кг, </w:t>
            </w:r>
          </w:p>
        </w:tc>
        <w:tc>
          <w:tcPr>
            <w:tcW w:w="2835" w:type="dxa"/>
            <w:vAlign w:val="center"/>
          </w:tcPr>
          <w:p w:rsidR="001F0A71" w:rsidRPr="00FD6349" w:rsidRDefault="001F0A71" w:rsidP="00473231">
            <w:pPr>
              <w:widowControl w:val="0"/>
              <w:spacing w:before="60" w:after="60" w:line="240" w:lineRule="auto"/>
              <w:ind w:left="-209"/>
              <w:jc w:val="center"/>
              <w:rPr>
                <w:rFonts w:ascii="Times New Roman" w:hAnsi="Times New Roman"/>
                <w:sz w:val="28"/>
                <w:szCs w:val="28"/>
                <w:lang w:val="uk-UA"/>
              </w:rPr>
            </w:pPr>
            <w:r w:rsidRPr="00FD6349">
              <w:rPr>
                <w:rFonts w:ascii="Times New Roman" w:hAnsi="Times New Roman"/>
                <w:sz w:val="28"/>
                <w:szCs w:val="28"/>
                <w:lang w:val="uk-UA"/>
              </w:rPr>
              <w:t>1,757±0,078 º*</w:t>
            </w:r>
            <w:r w:rsidRPr="00FD6349">
              <w:rPr>
                <w:rFonts w:ascii="Times New Roman" w:hAnsi="Times New Roman"/>
                <w:sz w:val="28"/>
                <w:szCs w:val="28"/>
                <w:vertAlign w:val="superscript"/>
                <w:lang w:val="uk-UA"/>
              </w:rPr>
              <w:t>#&amp;</w:t>
            </w:r>
            <w:r w:rsidRPr="00FD6349">
              <w:rPr>
                <w:rFonts w:ascii="Times New Roman" w:hAnsi="Times New Roman"/>
                <w:sz w:val="32"/>
                <w:szCs w:val="32"/>
                <w:vertAlign w:val="superscript"/>
                <w:lang w:val="uk-UA"/>
              </w:rPr>
              <w:t>α</w:t>
            </w:r>
          </w:p>
        </w:tc>
      </w:tr>
      <w:tr w:rsidR="001F0A71" w:rsidRPr="00FD6349" w:rsidTr="001F0A71">
        <w:trPr>
          <w:jc w:val="center"/>
        </w:trPr>
        <w:tc>
          <w:tcPr>
            <w:tcW w:w="7083" w:type="dxa"/>
            <w:vAlign w:val="center"/>
          </w:tcPr>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САК + німодипін,30 мкг⁄кг</w:t>
            </w:r>
          </w:p>
        </w:tc>
        <w:tc>
          <w:tcPr>
            <w:tcW w:w="2835"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2,764±0,086 º*</w:t>
            </w:r>
            <w:r w:rsidRPr="00FD6349">
              <w:rPr>
                <w:rFonts w:ascii="Times New Roman" w:hAnsi="Times New Roman"/>
                <w:sz w:val="28"/>
                <w:szCs w:val="28"/>
                <w:vertAlign w:val="superscript"/>
                <w:lang w:val="uk-UA"/>
              </w:rPr>
              <w:t>#</w:t>
            </w:r>
          </w:p>
        </w:tc>
      </w:tr>
      <w:tr w:rsidR="001F0A71" w:rsidRPr="00FD6349" w:rsidTr="001F0A71">
        <w:trPr>
          <w:jc w:val="center"/>
        </w:trPr>
        <w:tc>
          <w:tcPr>
            <w:tcW w:w="7083" w:type="dxa"/>
            <w:vAlign w:val="center"/>
          </w:tcPr>
          <w:p w:rsidR="001F0A71" w:rsidRPr="00FD6349" w:rsidRDefault="001F0A71" w:rsidP="00473231">
            <w:pPr>
              <w:widowControl w:val="0"/>
              <w:spacing w:before="60" w:after="60" w:line="240" w:lineRule="auto"/>
              <w:rPr>
                <w:rFonts w:ascii="Times New Roman" w:hAnsi="Times New Roman"/>
                <w:sz w:val="28"/>
                <w:szCs w:val="28"/>
                <w:lang w:val="uk-UA"/>
              </w:rPr>
            </w:pPr>
            <w:r w:rsidRPr="00FD6349">
              <w:rPr>
                <w:rFonts w:ascii="Times New Roman" w:hAnsi="Times New Roman"/>
                <w:sz w:val="28"/>
                <w:szCs w:val="28"/>
                <w:lang w:val="uk-UA"/>
              </w:rPr>
              <w:t>САК + амантадину сульфат, 10 мг⁄кг</w:t>
            </w:r>
          </w:p>
        </w:tc>
        <w:tc>
          <w:tcPr>
            <w:tcW w:w="2835"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2,623±0,053 º*</w:t>
            </w:r>
            <w:r w:rsidRPr="00FD6349">
              <w:rPr>
                <w:rFonts w:ascii="Times New Roman" w:hAnsi="Times New Roman"/>
                <w:sz w:val="28"/>
                <w:szCs w:val="28"/>
                <w:vertAlign w:val="superscript"/>
                <w:lang w:val="uk-UA"/>
              </w:rPr>
              <w:t>#</w:t>
            </w:r>
          </w:p>
        </w:tc>
      </w:tr>
      <w:tr w:rsidR="001F0A71" w:rsidRPr="00FD6349" w:rsidTr="001F0A71">
        <w:trPr>
          <w:jc w:val="center"/>
        </w:trPr>
        <w:tc>
          <w:tcPr>
            <w:tcW w:w="7083" w:type="dxa"/>
            <w:vAlign w:val="center"/>
          </w:tcPr>
          <w:p w:rsidR="001F0A71" w:rsidRPr="00FD6349" w:rsidRDefault="001F0A71" w:rsidP="00473231">
            <w:pPr>
              <w:widowControl w:val="0"/>
              <w:spacing w:before="60" w:after="60" w:line="240" w:lineRule="auto"/>
              <w:rPr>
                <w:rFonts w:ascii="Times New Roman" w:hAnsi="Times New Roman"/>
                <w:sz w:val="28"/>
                <w:szCs w:val="28"/>
                <w:lang w:val="uk-UA"/>
              </w:rPr>
            </w:pPr>
            <w:r w:rsidRPr="00FD6349">
              <w:rPr>
                <w:rFonts w:ascii="Times New Roman" w:hAnsi="Times New Roman"/>
                <w:sz w:val="28"/>
                <w:szCs w:val="28"/>
                <w:lang w:val="uk-UA"/>
              </w:rPr>
              <w:t>САК + магнію сульфат, 250 мг⁄кг</w:t>
            </w:r>
          </w:p>
        </w:tc>
        <w:tc>
          <w:tcPr>
            <w:tcW w:w="2835"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3,577±0,092 º*</w:t>
            </w:r>
          </w:p>
        </w:tc>
      </w:tr>
    </w:tbl>
    <w:p w:rsidR="001F0A71" w:rsidRPr="0036311A" w:rsidRDefault="001F0A71" w:rsidP="00B065B6">
      <w:pPr>
        <w:widowControl w:val="0"/>
        <w:tabs>
          <w:tab w:val="left" w:pos="1080"/>
        </w:tabs>
        <w:spacing w:after="0" w:line="240" w:lineRule="auto"/>
        <w:ind w:firstLine="284"/>
        <w:jc w:val="both"/>
        <w:rPr>
          <w:rFonts w:ascii="Times New Roman" w:hAnsi="Times New Roman"/>
          <w:sz w:val="28"/>
          <w:szCs w:val="28"/>
          <w:lang w:val="uk-UA"/>
        </w:rPr>
      </w:pPr>
    </w:p>
    <w:p w:rsidR="001F0A71" w:rsidRPr="00FD6349" w:rsidRDefault="001F0A71" w:rsidP="00B065B6">
      <w:pPr>
        <w:widowControl w:val="0"/>
        <w:tabs>
          <w:tab w:val="left" w:pos="1080"/>
        </w:tabs>
        <w:spacing w:after="0" w:line="24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Примітки: </w:t>
      </w:r>
    </w:p>
    <w:p w:rsidR="001F0A71" w:rsidRPr="00FD6349" w:rsidRDefault="001F0A71" w:rsidP="00473231">
      <w:pPr>
        <w:widowControl w:val="0"/>
        <w:numPr>
          <w:ilvl w:val="0"/>
          <w:numId w:val="19"/>
        </w:numPr>
        <w:tabs>
          <w:tab w:val="left" w:pos="993"/>
          <w:tab w:val="left" w:pos="1276"/>
          <w:tab w:val="left" w:pos="1418"/>
        </w:tabs>
        <w:spacing w:after="0" w:line="360" w:lineRule="auto"/>
        <w:ind w:left="709" w:firstLine="0"/>
        <w:jc w:val="both"/>
        <w:rPr>
          <w:rFonts w:ascii="Times New Roman" w:hAnsi="Times New Roman"/>
          <w:sz w:val="28"/>
          <w:szCs w:val="28"/>
          <w:lang w:val="uk-UA"/>
        </w:rPr>
      </w:pPr>
      <w:r w:rsidRPr="00FD6349">
        <w:rPr>
          <w:rFonts w:ascii="Times New Roman" w:hAnsi="Times New Roman"/>
          <w:sz w:val="28"/>
          <w:szCs w:val="28"/>
          <w:lang w:val="uk-UA"/>
        </w:rPr>
        <w:t>º – р&lt;0,05 відносно псевдооперованих тварин;</w:t>
      </w:r>
    </w:p>
    <w:p w:rsidR="001F0A71" w:rsidRPr="00FD6349" w:rsidRDefault="009C1175" w:rsidP="00473231">
      <w:pPr>
        <w:widowControl w:val="0"/>
        <w:tabs>
          <w:tab w:val="left" w:pos="1276"/>
        </w:tabs>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2</w:t>
      </w:r>
      <w:r w:rsidR="001F0A71" w:rsidRPr="00FD6349">
        <w:rPr>
          <w:rFonts w:ascii="Times New Roman" w:hAnsi="Times New Roman"/>
          <w:sz w:val="28"/>
          <w:szCs w:val="28"/>
          <w:lang w:val="uk-UA"/>
        </w:rPr>
        <w:t>.* – р&lt;0,05 відносно контрольної патології;</w:t>
      </w:r>
    </w:p>
    <w:p w:rsidR="001F0A71" w:rsidRPr="00FD6349" w:rsidRDefault="009C1175" w:rsidP="00473231">
      <w:pPr>
        <w:widowControl w:val="0"/>
        <w:tabs>
          <w:tab w:val="left" w:pos="1276"/>
        </w:tabs>
        <w:spacing w:after="0" w:line="360" w:lineRule="auto"/>
        <w:ind w:left="709"/>
        <w:rPr>
          <w:rFonts w:ascii="Times New Roman" w:hAnsi="Times New Roman"/>
          <w:sz w:val="28"/>
          <w:szCs w:val="28"/>
          <w:lang w:val="uk-UA"/>
        </w:rPr>
      </w:pPr>
      <w:r>
        <w:rPr>
          <w:rFonts w:ascii="Times New Roman" w:hAnsi="Times New Roman"/>
          <w:sz w:val="28"/>
          <w:szCs w:val="28"/>
          <w:lang w:val="uk-UA"/>
        </w:rPr>
        <w:t>3</w:t>
      </w:r>
      <w:r w:rsidR="001F0A71" w:rsidRPr="00FD6349">
        <w:rPr>
          <w:rFonts w:ascii="Times New Roman" w:hAnsi="Times New Roman"/>
          <w:sz w:val="28"/>
          <w:szCs w:val="28"/>
          <w:lang w:val="uk-UA"/>
        </w:rPr>
        <w:t xml:space="preserve">. </w:t>
      </w:r>
      <w:r w:rsidR="001F0A71" w:rsidRPr="00FD6349">
        <w:rPr>
          <w:rFonts w:ascii="Times New Roman" w:hAnsi="Times New Roman"/>
          <w:sz w:val="28"/>
          <w:szCs w:val="28"/>
          <w:vertAlign w:val="superscript"/>
          <w:lang w:val="uk-UA"/>
        </w:rPr>
        <w:t xml:space="preserve"># </w:t>
      </w:r>
      <w:r w:rsidR="001F0A71" w:rsidRPr="00FD6349">
        <w:rPr>
          <w:rFonts w:ascii="Times New Roman" w:hAnsi="Times New Roman"/>
          <w:sz w:val="28"/>
          <w:szCs w:val="28"/>
          <w:lang w:val="uk-UA"/>
        </w:rPr>
        <w:t>– р&lt;0,05 відносно магнію сульфату (250 мг/кг);</w:t>
      </w:r>
    </w:p>
    <w:p w:rsidR="001F0A71" w:rsidRPr="00FD6349" w:rsidRDefault="009C1175" w:rsidP="00473231">
      <w:pPr>
        <w:widowControl w:val="0"/>
        <w:tabs>
          <w:tab w:val="left" w:pos="1276"/>
        </w:tabs>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4</w:t>
      </w:r>
      <w:r w:rsidR="001F0A71" w:rsidRPr="00FD6349">
        <w:rPr>
          <w:rFonts w:ascii="Times New Roman" w:hAnsi="Times New Roman"/>
          <w:sz w:val="28"/>
          <w:szCs w:val="28"/>
          <w:lang w:val="uk-UA"/>
        </w:rPr>
        <w:t xml:space="preserve">. </w:t>
      </w:r>
      <w:r w:rsidR="001F0A71" w:rsidRPr="00FD6349">
        <w:rPr>
          <w:rFonts w:ascii="Times New Roman" w:hAnsi="Times New Roman"/>
          <w:sz w:val="28"/>
          <w:szCs w:val="28"/>
          <w:vertAlign w:val="superscript"/>
          <w:lang w:val="uk-UA"/>
        </w:rPr>
        <w:t>&amp;</w:t>
      </w:r>
      <w:r w:rsidR="001F0A71" w:rsidRPr="00FD6349">
        <w:rPr>
          <w:rFonts w:ascii="Times New Roman" w:hAnsi="Times New Roman"/>
          <w:sz w:val="28"/>
          <w:szCs w:val="28"/>
          <w:lang w:val="uk-UA"/>
        </w:rPr>
        <w:t>– р&lt;0,05 відносно амантадину сульфату (10 мг/кг);</w:t>
      </w:r>
    </w:p>
    <w:p w:rsidR="001F0A71" w:rsidRPr="00FD6349" w:rsidRDefault="009C1175" w:rsidP="00473231">
      <w:pPr>
        <w:pStyle w:val="a5"/>
        <w:widowControl w:val="0"/>
        <w:tabs>
          <w:tab w:val="left" w:pos="1843"/>
        </w:tabs>
        <w:spacing w:after="0" w:line="360" w:lineRule="auto"/>
        <w:ind w:left="709"/>
        <w:rPr>
          <w:rFonts w:ascii="Times New Roman" w:hAnsi="Times New Roman"/>
          <w:sz w:val="28"/>
          <w:szCs w:val="28"/>
          <w:lang w:val="uk-UA"/>
        </w:rPr>
      </w:pPr>
      <w:r>
        <w:rPr>
          <w:rFonts w:ascii="Times New Roman" w:hAnsi="Times New Roman"/>
          <w:sz w:val="28"/>
          <w:szCs w:val="28"/>
          <w:lang w:val="uk-UA"/>
        </w:rPr>
        <w:t>5</w:t>
      </w:r>
      <w:r w:rsidR="001F0A71" w:rsidRPr="00FD6349">
        <w:rPr>
          <w:rFonts w:ascii="Times New Roman" w:hAnsi="Times New Roman"/>
          <w:sz w:val="28"/>
          <w:szCs w:val="28"/>
          <w:lang w:val="uk-UA"/>
        </w:rPr>
        <w:t xml:space="preserve">. α – р&lt;0,05 </w:t>
      </w:r>
      <w:r w:rsidR="001F0A71" w:rsidRPr="00FD6349">
        <w:rPr>
          <w:rFonts w:ascii="Times New Roman" w:hAnsi="Times New Roman"/>
          <w:sz w:val="28"/>
          <w:lang w:val="uk-UA"/>
        </w:rPr>
        <w:t xml:space="preserve">відносно </w:t>
      </w:r>
      <w:r w:rsidR="001F0A71" w:rsidRPr="00FD6349">
        <w:rPr>
          <w:rFonts w:ascii="Times New Roman" w:hAnsi="Times New Roman"/>
          <w:sz w:val="28"/>
          <w:szCs w:val="28"/>
          <w:lang w:val="uk-UA"/>
        </w:rPr>
        <w:t>німодипіну.</w:t>
      </w:r>
    </w:p>
    <w:p w:rsidR="001F0A71" w:rsidRPr="001E560D" w:rsidRDefault="001F0A71" w:rsidP="00B065B6">
      <w:pPr>
        <w:widowControl w:val="0"/>
        <w:tabs>
          <w:tab w:val="left" w:pos="360"/>
        </w:tabs>
        <w:spacing w:after="0" w:line="360" w:lineRule="auto"/>
        <w:ind w:firstLine="284"/>
        <w:jc w:val="both"/>
        <w:rPr>
          <w:rFonts w:ascii="Times New Roman" w:hAnsi="Times New Roman"/>
          <w:sz w:val="16"/>
          <w:szCs w:val="16"/>
          <w:lang w:val="uk-UA"/>
        </w:rPr>
      </w:pPr>
    </w:p>
    <w:p w:rsidR="001F0A71" w:rsidRDefault="001F0A71" w:rsidP="00B065B6">
      <w:pPr>
        <w:widowControl w:val="0"/>
        <w:tabs>
          <w:tab w:val="left" w:pos="360"/>
        </w:tabs>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В умовах ВМК дослідження активності нейромаркера у щурів показав, що через 96 год (4-та доба) після моделювання патології, рівень активності NSE вірогідно підвищився відносно аналогічного показника у псевдооперованих тварин у 18,1 рази, при цьому, в кінці спостереження (21-ша доба), рівень активності енолази продовжував залишатись підвищеним в середньому в 7 разів (табл. 5.2).</w:t>
      </w:r>
    </w:p>
    <w:p w:rsidR="001F0A71" w:rsidRDefault="001F0A71" w:rsidP="00B065B6">
      <w:pPr>
        <w:widowControl w:val="0"/>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Отримані нами результати стосовно характеру коливань рівня енолази у різні періоди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D6349">
        <w:rPr>
          <w:rFonts w:ascii="Times New Roman" w:hAnsi="Times New Roman"/>
          <w:sz w:val="28"/>
          <w:szCs w:val="28"/>
          <w:lang w:val="uk-UA"/>
        </w:rPr>
        <w:t xml:space="preserve"> співпадають із літературними даними [</w:t>
      </w:r>
      <w:r w:rsidRPr="00FD6349">
        <w:rPr>
          <w:rFonts w:ascii="Times New Roman" w:hAnsi="Times New Roman"/>
          <w:sz w:val="28"/>
          <w:szCs w:val="28"/>
        </w:rPr>
        <w:t>14</w:t>
      </w:r>
      <w:r w:rsidRPr="003F1D73">
        <w:rPr>
          <w:rFonts w:ascii="Times New Roman" w:hAnsi="Times New Roman"/>
          <w:sz w:val="28"/>
          <w:szCs w:val="28"/>
        </w:rPr>
        <w:t>9</w:t>
      </w:r>
      <w:r w:rsidRPr="00FD6349">
        <w:rPr>
          <w:rFonts w:ascii="Times New Roman" w:hAnsi="Times New Roman"/>
          <w:sz w:val="28"/>
          <w:szCs w:val="28"/>
        </w:rPr>
        <w:t>-15</w:t>
      </w:r>
      <w:r w:rsidRPr="003F1D73">
        <w:rPr>
          <w:rFonts w:ascii="Times New Roman" w:hAnsi="Times New Roman"/>
          <w:sz w:val="28"/>
          <w:szCs w:val="28"/>
        </w:rPr>
        <w:t>1</w:t>
      </w:r>
      <w:r w:rsidRPr="00FD6349">
        <w:rPr>
          <w:rFonts w:ascii="Times New Roman" w:hAnsi="Times New Roman"/>
          <w:sz w:val="28"/>
          <w:szCs w:val="28"/>
        </w:rPr>
        <w:t>,160,161</w:t>
      </w:r>
      <w:r w:rsidRPr="00FD6349">
        <w:rPr>
          <w:rFonts w:ascii="Times New Roman" w:hAnsi="Times New Roman"/>
          <w:sz w:val="28"/>
          <w:szCs w:val="28"/>
          <w:lang w:val="uk-UA"/>
        </w:rPr>
        <w:t>].</w:t>
      </w:r>
    </w:p>
    <w:p w:rsidR="001E560D" w:rsidRDefault="00473231" w:rsidP="001E560D">
      <w:pPr>
        <w:widowControl w:val="0"/>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Так, на думку дослідників, значне підвищення NSE в гострий період </w:t>
      </w:r>
      <w:r>
        <w:rPr>
          <w:rFonts w:ascii="Times New Roman" w:hAnsi="Times New Roman"/>
          <w:sz w:val="28"/>
          <w:szCs w:val="28"/>
          <w:lang w:val="uk-UA"/>
        </w:rPr>
        <w:t>ВМК</w:t>
      </w:r>
      <w:r w:rsidRPr="00FD6349">
        <w:rPr>
          <w:rFonts w:ascii="Times New Roman" w:hAnsi="Times New Roman"/>
          <w:sz w:val="28"/>
          <w:szCs w:val="28"/>
          <w:lang w:val="uk-UA"/>
        </w:rPr>
        <w:t xml:space="preserve"> відбувається переважно за рахунок деструкції нейронів внаслідок безпосереднього </w:t>
      </w:r>
      <w:r w:rsidRPr="00FD6349">
        <w:rPr>
          <w:rFonts w:ascii="Times New Roman" w:hAnsi="Times New Roman"/>
          <w:sz w:val="28"/>
          <w:szCs w:val="28"/>
          <w:lang w:val="uk-UA"/>
        </w:rPr>
        <w:lastRenderedPageBreak/>
        <w:t>впливу ішемічного чинника на внутрішньоклітинний метаболізм.</w:t>
      </w:r>
      <w:r w:rsidR="001E560D" w:rsidRPr="00FD6349">
        <w:rPr>
          <w:rFonts w:ascii="Times New Roman" w:hAnsi="Times New Roman"/>
          <w:sz w:val="28"/>
          <w:szCs w:val="28"/>
          <w:lang w:val="uk-UA"/>
        </w:rPr>
        <w:t xml:space="preserve">У більш пізній період ГПМК, коли активуються адаптивні та репаративні процеси, вміст енолази поступово зменшується, однак не знижується до нормальних цифр. </w:t>
      </w:r>
    </w:p>
    <w:p w:rsidR="0036311A" w:rsidRPr="00FD6349" w:rsidRDefault="0036311A" w:rsidP="001E560D">
      <w:pPr>
        <w:widowControl w:val="0"/>
        <w:spacing w:after="0" w:line="360" w:lineRule="auto"/>
        <w:ind w:firstLine="284"/>
        <w:jc w:val="both"/>
        <w:rPr>
          <w:rFonts w:ascii="Times New Roman" w:hAnsi="Times New Roman"/>
          <w:sz w:val="28"/>
          <w:szCs w:val="28"/>
          <w:lang w:val="uk-UA"/>
        </w:rPr>
      </w:pPr>
    </w:p>
    <w:p w:rsidR="001F0A71" w:rsidRPr="00FD6349" w:rsidRDefault="001F0A71" w:rsidP="001F0A71">
      <w:pPr>
        <w:widowControl w:val="0"/>
        <w:spacing w:after="0" w:line="360" w:lineRule="auto"/>
        <w:ind w:firstLine="284"/>
        <w:jc w:val="right"/>
        <w:rPr>
          <w:rFonts w:ascii="Times New Roman" w:hAnsi="Times New Roman"/>
          <w:sz w:val="28"/>
          <w:szCs w:val="28"/>
          <w:lang w:val="uk-UA"/>
        </w:rPr>
      </w:pPr>
      <w:r w:rsidRPr="00FD6349">
        <w:rPr>
          <w:rFonts w:ascii="Times New Roman" w:hAnsi="Times New Roman"/>
          <w:sz w:val="28"/>
          <w:szCs w:val="28"/>
          <w:lang w:val="uk-UA"/>
        </w:rPr>
        <w:t>Таблиця 5.2</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FD6349">
        <w:rPr>
          <w:rFonts w:ascii="Times New Roman" w:hAnsi="Times New Roman"/>
          <w:sz w:val="28"/>
          <w:szCs w:val="28"/>
          <w:lang w:val="uk-UA"/>
        </w:rPr>
        <w:t xml:space="preserve">Вплив адемолута референс-препаратів надинаміку рівня </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FD6349">
        <w:rPr>
          <w:rFonts w:ascii="Times New Roman" w:hAnsi="Times New Roman"/>
          <w:sz w:val="28"/>
          <w:szCs w:val="28"/>
          <w:lang w:val="uk-UA"/>
        </w:rPr>
        <w:t xml:space="preserve">нейрон-специфічної енолази (нг/мл) у сироватці крові зі стегнової вени щурів </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FD6349">
        <w:rPr>
          <w:rFonts w:ascii="Times New Roman" w:hAnsi="Times New Roman"/>
          <w:sz w:val="28"/>
          <w:szCs w:val="28"/>
          <w:lang w:val="uk-UA"/>
        </w:rPr>
        <w:t>із інтрацеребральноюгеморагією</w:t>
      </w:r>
      <w:r>
        <w:rPr>
          <w:rFonts w:ascii="Times New Roman" w:hAnsi="Times New Roman"/>
          <w:sz w:val="28"/>
          <w:szCs w:val="28"/>
          <w:lang w:val="uk-UA"/>
        </w:rPr>
        <w:t xml:space="preserve">, </w:t>
      </w:r>
      <w:r w:rsidRPr="00FD6349">
        <w:rPr>
          <w:rFonts w:ascii="Times New Roman" w:hAnsi="Times New Roman"/>
          <w:sz w:val="28"/>
          <w:szCs w:val="28"/>
          <w:lang w:val="uk-UA"/>
        </w:rPr>
        <w:t>M±m</w:t>
      </w:r>
    </w:p>
    <w:p w:rsidR="0036311A" w:rsidRDefault="0036311A" w:rsidP="001F0A71">
      <w:pPr>
        <w:widowControl w:val="0"/>
        <w:spacing w:after="0" w:line="360" w:lineRule="auto"/>
        <w:ind w:firstLine="284"/>
        <w:jc w:val="center"/>
        <w:rPr>
          <w:rFonts w:ascii="Times New Roman" w:hAnsi="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4"/>
        <w:gridCol w:w="2087"/>
        <w:gridCol w:w="2052"/>
      </w:tblGrid>
      <w:tr w:rsidR="001F0A71" w:rsidRPr="00FD6349" w:rsidTr="001F0A71">
        <w:trPr>
          <w:jc w:val="center"/>
        </w:trPr>
        <w:tc>
          <w:tcPr>
            <w:tcW w:w="5524" w:type="dxa"/>
            <w:vMerge w:val="restart"/>
            <w:vAlign w:val="center"/>
          </w:tcPr>
          <w:p w:rsidR="001F0A71" w:rsidRPr="00FD6349" w:rsidRDefault="001F0A71" w:rsidP="00473231">
            <w:pPr>
              <w:widowControl w:val="0"/>
              <w:spacing w:before="60" w:after="60" w:line="240" w:lineRule="auto"/>
              <w:ind w:firstLine="284"/>
              <w:jc w:val="center"/>
              <w:rPr>
                <w:rFonts w:ascii="Times New Roman" w:hAnsi="Times New Roman"/>
                <w:sz w:val="28"/>
                <w:szCs w:val="28"/>
                <w:lang w:val="uk-UA"/>
              </w:rPr>
            </w:pPr>
            <w:r w:rsidRPr="00FD6349">
              <w:rPr>
                <w:rFonts w:ascii="Times New Roman" w:hAnsi="Times New Roman"/>
                <w:sz w:val="28"/>
                <w:szCs w:val="28"/>
                <w:lang w:val="uk-UA"/>
              </w:rPr>
              <w:t>Групи тварин</w:t>
            </w:r>
          </w:p>
        </w:tc>
        <w:tc>
          <w:tcPr>
            <w:tcW w:w="4139" w:type="dxa"/>
            <w:gridSpan w:val="2"/>
            <w:vAlign w:val="center"/>
          </w:tcPr>
          <w:p w:rsidR="001F0A71" w:rsidRPr="00FD6349" w:rsidRDefault="001F0A71" w:rsidP="00473231">
            <w:pPr>
              <w:widowControl w:val="0"/>
              <w:spacing w:before="60" w:after="60" w:line="240" w:lineRule="auto"/>
              <w:ind w:firstLine="284"/>
              <w:jc w:val="center"/>
              <w:rPr>
                <w:rFonts w:ascii="Times New Roman" w:hAnsi="Times New Roman"/>
                <w:sz w:val="28"/>
                <w:szCs w:val="28"/>
                <w:lang w:val="uk-UA"/>
              </w:rPr>
            </w:pPr>
            <w:r w:rsidRPr="00FD6349">
              <w:rPr>
                <w:rFonts w:ascii="Times New Roman" w:hAnsi="Times New Roman"/>
                <w:sz w:val="28"/>
                <w:szCs w:val="28"/>
                <w:lang w:val="uk-UA"/>
              </w:rPr>
              <w:t>Термін, доба</w:t>
            </w:r>
          </w:p>
        </w:tc>
      </w:tr>
      <w:tr w:rsidR="001F0A71" w:rsidRPr="00FD6349" w:rsidTr="001F0A71">
        <w:trPr>
          <w:jc w:val="center"/>
        </w:trPr>
        <w:tc>
          <w:tcPr>
            <w:tcW w:w="5524" w:type="dxa"/>
            <w:vMerge/>
            <w:vAlign w:val="center"/>
          </w:tcPr>
          <w:p w:rsidR="001F0A71" w:rsidRPr="00FD6349" w:rsidRDefault="001F0A71" w:rsidP="00473231">
            <w:pPr>
              <w:widowControl w:val="0"/>
              <w:spacing w:before="60" w:after="60" w:line="240" w:lineRule="auto"/>
              <w:ind w:firstLine="284"/>
              <w:jc w:val="center"/>
              <w:rPr>
                <w:rFonts w:ascii="Times New Roman" w:hAnsi="Times New Roman"/>
                <w:sz w:val="28"/>
                <w:szCs w:val="28"/>
                <w:lang w:val="uk-UA"/>
              </w:rPr>
            </w:pPr>
          </w:p>
        </w:tc>
        <w:tc>
          <w:tcPr>
            <w:tcW w:w="2087" w:type="dxa"/>
            <w:vAlign w:val="center"/>
          </w:tcPr>
          <w:p w:rsidR="001F0A71" w:rsidRPr="00FD6349" w:rsidRDefault="001F0A71" w:rsidP="00473231">
            <w:pPr>
              <w:widowControl w:val="0"/>
              <w:spacing w:before="60" w:after="60" w:line="240" w:lineRule="auto"/>
              <w:ind w:firstLine="284"/>
              <w:jc w:val="center"/>
              <w:rPr>
                <w:rFonts w:ascii="Times New Roman" w:hAnsi="Times New Roman"/>
                <w:sz w:val="28"/>
                <w:szCs w:val="28"/>
                <w:lang w:val="uk-UA"/>
              </w:rPr>
            </w:pPr>
            <w:r w:rsidRPr="00FD6349">
              <w:rPr>
                <w:rFonts w:ascii="Times New Roman" w:hAnsi="Times New Roman"/>
                <w:sz w:val="28"/>
                <w:szCs w:val="28"/>
                <w:lang w:val="uk-UA"/>
              </w:rPr>
              <w:t>4</w:t>
            </w:r>
          </w:p>
        </w:tc>
        <w:tc>
          <w:tcPr>
            <w:tcW w:w="2052" w:type="dxa"/>
            <w:vAlign w:val="center"/>
          </w:tcPr>
          <w:p w:rsidR="001F0A71" w:rsidRPr="00FD6349" w:rsidRDefault="001F0A71" w:rsidP="00473231">
            <w:pPr>
              <w:widowControl w:val="0"/>
              <w:spacing w:before="60" w:after="60" w:line="240" w:lineRule="auto"/>
              <w:ind w:firstLine="284"/>
              <w:jc w:val="center"/>
              <w:rPr>
                <w:rFonts w:ascii="Times New Roman" w:hAnsi="Times New Roman"/>
                <w:sz w:val="28"/>
                <w:szCs w:val="28"/>
                <w:lang w:val="uk-UA"/>
              </w:rPr>
            </w:pPr>
            <w:r w:rsidRPr="00FD6349">
              <w:rPr>
                <w:rFonts w:ascii="Times New Roman" w:hAnsi="Times New Roman"/>
                <w:sz w:val="28"/>
                <w:szCs w:val="28"/>
                <w:lang w:val="uk-UA"/>
              </w:rPr>
              <w:t>21</w:t>
            </w:r>
          </w:p>
        </w:tc>
      </w:tr>
      <w:tr w:rsidR="001F0A71" w:rsidRPr="00FD6349" w:rsidTr="001F0A71">
        <w:trPr>
          <w:jc w:val="center"/>
        </w:trPr>
        <w:tc>
          <w:tcPr>
            <w:tcW w:w="5524" w:type="dxa"/>
            <w:vAlign w:val="center"/>
          </w:tcPr>
          <w:p w:rsidR="001F0A71" w:rsidRDefault="001F0A71" w:rsidP="00473231">
            <w:pPr>
              <w:widowControl w:val="0"/>
              <w:spacing w:before="60" w:after="60" w:line="240" w:lineRule="auto"/>
              <w:rPr>
                <w:rFonts w:ascii="Times New Roman" w:hAnsi="Times New Roman"/>
                <w:sz w:val="28"/>
                <w:szCs w:val="28"/>
                <w:lang w:val="uk-UA"/>
              </w:rPr>
            </w:pPr>
            <w:r w:rsidRPr="00FD6349">
              <w:rPr>
                <w:rFonts w:ascii="Times New Roman" w:hAnsi="Times New Roman"/>
                <w:sz w:val="28"/>
                <w:szCs w:val="28"/>
                <w:lang w:val="uk-UA"/>
              </w:rPr>
              <w:t xml:space="preserve">Псевдооперовані тварини + 0,9% NаСІ, </w:t>
            </w:r>
          </w:p>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2 мл/кг</w:t>
            </w:r>
            <w:r>
              <w:rPr>
                <w:rFonts w:ascii="Times New Roman" w:hAnsi="Times New Roman"/>
                <w:sz w:val="28"/>
                <w:szCs w:val="28"/>
                <w:lang w:val="uk-UA"/>
              </w:rPr>
              <w:t xml:space="preserve"> (</w:t>
            </w:r>
            <w:r w:rsidRPr="00E26341">
              <w:rPr>
                <w:rFonts w:ascii="Times New Roman" w:hAnsi="Times New Roman"/>
                <w:sz w:val="28"/>
                <w:szCs w:val="28"/>
                <w:lang w:val="uk-UA"/>
              </w:rPr>
              <w:t>n=15</w:t>
            </w:r>
            <w:r w:rsidRPr="00FD6349">
              <w:rPr>
                <w:rFonts w:ascii="Times New Roman" w:hAnsi="Times New Roman"/>
                <w:sz w:val="28"/>
                <w:szCs w:val="28"/>
                <w:lang w:val="uk-UA"/>
              </w:rPr>
              <w:t>)</w:t>
            </w:r>
          </w:p>
        </w:tc>
        <w:tc>
          <w:tcPr>
            <w:tcW w:w="2087"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0,156±0,008</w:t>
            </w:r>
          </w:p>
        </w:tc>
        <w:tc>
          <w:tcPr>
            <w:tcW w:w="2052"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0,134±0,012*</w:t>
            </w:r>
          </w:p>
        </w:tc>
      </w:tr>
      <w:tr w:rsidR="001F0A71" w:rsidRPr="00FD6349" w:rsidTr="001F0A71">
        <w:trPr>
          <w:jc w:val="center"/>
        </w:trPr>
        <w:tc>
          <w:tcPr>
            <w:tcW w:w="5524" w:type="dxa"/>
            <w:vAlign w:val="center"/>
          </w:tcPr>
          <w:p w:rsidR="001F0A71" w:rsidRPr="00FD6349" w:rsidRDefault="001F0A71" w:rsidP="00473231">
            <w:pPr>
              <w:widowControl w:val="0"/>
              <w:spacing w:before="60" w:after="60" w:line="240" w:lineRule="auto"/>
              <w:rPr>
                <w:rFonts w:ascii="Times New Roman" w:hAnsi="Times New Roman"/>
                <w:sz w:val="28"/>
                <w:szCs w:val="28"/>
                <w:lang w:val="uk-UA"/>
              </w:rPr>
            </w:pPr>
            <w:r w:rsidRPr="00FD6349">
              <w:rPr>
                <w:rFonts w:ascii="Times New Roman" w:hAnsi="Times New Roman"/>
                <w:sz w:val="28"/>
                <w:szCs w:val="28"/>
                <w:lang w:val="uk-UA"/>
              </w:rPr>
              <w:t>ВМК + 0,9% NаСІ, 2 мл/кг</w:t>
            </w:r>
          </w:p>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(група контрольної патології)</w:t>
            </w:r>
            <w:r>
              <w:rPr>
                <w:rFonts w:ascii="Times New Roman" w:hAnsi="Times New Roman"/>
                <w:sz w:val="28"/>
                <w:szCs w:val="28"/>
                <w:lang w:val="uk-UA"/>
              </w:rPr>
              <w:t xml:space="preserve"> (</w:t>
            </w:r>
            <w:r w:rsidRPr="00E26341">
              <w:rPr>
                <w:rFonts w:ascii="Times New Roman" w:hAnsi="Times New Roman"/>
                <w:sz w:val="28"/>
                <w:szCs w:val="28"/>
                <w:lang w:val="uk-UA"/>
              </w:rPr>
              <w:t>n=15</w:t>
            </w:r>
            <w:r w:rsidRPr="00FD6349">
              <w:rPr>
                <w:rFonts w:ascii="Times New Roman" w:hAnsi="Times New Roman"/>
                <w:sz w:val="28"/>
                <w:szCs w:val="28"/>
                <w:lang w:val="uk-UA"/>
              </w:rPr>
              <w:t>)</w:t>
            </w:r>
          </w:p>
        </w:tc>
        <w:tc>
          <w:tcPr>
            <w:tcW w:w="2087"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2,824±0,046º</w:t>
            </w:r>
          </w:p>
        </w:tc>
        <w:tc>
          <w:tcPr>
            <w:tcW w:w="2052"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0,939±0,026º</w:t>
            </w:r>
            <w:r w:rsidRPr="00FD6349">
              <w:rPr>
                <w:rFonts w:ascii="Times New Roman" w:hAnsi="Times New Roman"/>
                <w:sz w:val="32"/>
                <w:szCs w:val="32"/>
                <w:vertAlign w:val="superscript"/>
                <w:lang w:val="uk-UA"/>
              </w:rPr>
              <w:t>4</w:t>
            </w:r>
          </w:p>
        </w:tc>
      </w:tr>
      <w:tr w:rsidR="001F0A71" w:rsidRPr="00FD6349" w:rsidTr="001F0A71">
        <w:trPr>
          <w:jc w:val="center"/>
        </w:trPr>
        <w:tc>
          <w:tcPr>
            <w:tcW w:w="5524" w:type="dxa"/>
            <w:vAlign w:val="center"/>
          </w:tcPr>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ВМК</w:t>
            </w:r>
            <w:r w:rsidRPr="00FD6349">
              <w:rPr>
                <w:rFonts w:ascii="Times New Roman" w:hAnsi="Times New Roman"/>
                <w:b/>
                <w:sz w:val="28"/>
                <w:szCs w:val="28"/>
                <w:lang w:val="uk-UA"/>
              </w:rPr>
              <w:t xml:space="preserve"> + </w:t>
            </w:r>
            <w:r w:rsidRPr="00FD6349">
              <w:rPr>
                <w:rFonts w:ascii="Times New Roman" w:hAnsi="Times New Roman"/>
                <w:sz w:val="28"/>
                <w:szCs w:val="28"/>
                <w:lang w:val="uk-UA"/>
              </w:rPr>
              <w:t>адемол, 2 мг⁄кг</w:t>
            </w:r>
            <w:r>
              <w:rPr>
                <w:rFonts w:ascii="Times New Roman" w:hAnsi="Times New Roman"/>
                <w:sz w:val="28"/>
                <w:szCs w:val="28"/>
                <w:lang w:val="uk-UA"/>
              </w:rPr>
              <w:t xml:space="preserve"> (</w:t>
            </w:r>
            <w:r w:rsidRPr="00E26341">
              <w:rPr>
                <w:rFonts w:ascii="Times New Roman" w:hAnsi="Times New Roman"/>
                <w:sz w:val="28"/>
                <w:szCs w:val="28"/>
                <w:lang w:val="uk-UA"/>
              </w:rPr>
              <w:t>n=15</w:t>
            </w:r>
            <w:r w:rsidRPr="00FD6349">
              <w:rPr>
                <w:rFonts w:ascii="Times New Roman" w:hAnsi="Times New Roman"/>
                <w:sz w:val="28"/>
                <w:szCs w:val="28"/>
                <w:lang w:val="uk-UA"/>
              </w:rPr>
              <w:t>)</w:t>
            </w:r>
          </w:p>
        </w:tc>
        <w:tc>
          <w:tcPr>
            <w:tcW w:w="2087"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1,071±0,016º*</w:t>
            </w:r>
            <w:r w:rsidRPr="00FD6349">
              <w:rPr>
                <w:rFonts w:ascii="Times New Roman" w:hAnsi="Times New Roman"/>
                <w:sz w:val="28"/>
                <w:szCs w:val="28"/>
                <w:vertAlign w:val="superscript"/>
                <w:lang w:val="uk-UA"/>
              </w:rPr>
              <w:t>#&amp;</w:t>
            </w:r>
          </w:p>
        </w:tc>
        <w:tc>
          <w:tcPr>
            <w:tcW w:w="2052" w:type="dxa"/>
            <w:vAlign w:val="center"/>
          </w:tcPr>
          <w:p w:rsidR="001F0A71" w:rsidRPr="00FD6349" w:rsidRDefault="001F0A71" w:rsidP="00473231">
            <w:pPr>
              <w:widowControl w:val="0"/>
              <w:spacing w:before="60" w:after="60" w:line="240" w:lineRule="auto"/>
              <w:ind w:left="-209"/>
              <w:jc w:val="center"/>
              <w:rPr>
                <w:rFonts w:ascii="Times New Roman" w:hAnsi="Times New Roman"/>
                <w:sz w:val="28"/>
                <w:szCs w:val="28"/>
                <w:lang w:val="uk-UA"/>
              </w:rPr>
            </w:pPr>
            <w:r w:rsidRPr="00FD6349">
              <w:rPr>
                <w:rFonts w:ascii="Times New Roman" w:hAnsi="Times New Roman"/>
                <w:sz w:val="28"/>
                <w:szCs w:val="28"/>
                <w:lang w:val="uk-UA"/>
              </w:rPr>
              <w:t>0,267±0,014º*</w:t>
            </w:r>
            <w:r w:rsidRPr="00FD6349">
              <w:rPr>
                <w:rFonts w:ascii="Times New Roman" w:hAnsi="Times New Roman"/>
                <w:sz w:val="28"/>
                <w:szCs w:val="28"/>
                <w:vertAlign w:val="superscript"/>
                <w:lang w:val="uk-UA"/>
              </w:rPr>
              <w:t>#&amp;</w:t>
            </w:r>
            <w:r w:rsidRPr="00FD6349">
              <w:rPr>
                <w:rFonts w:ascii="Times New Roman" w:hAnsi="Times New Roman"/>
                <w:sz w:val="32"/>
                <w:szCs w:val="32"/>
                <w:vertAlign w:val="superscript"/>
                <w:lang w:val="uk-UA"/>
              </w:rPr>
              <w:t>4</w:t>
            </w:r>
          </w:p>
        </w:tc>
      </w:tr>
      <w:tr w:rsidR="001F0A71" w:rsidRPr="00FD6349" w:rsidTr="001F0A71">
        <w:trPr>
          <w:jc w:val="center"/>
        </w:trPr>
        <w:tc>
          <w:tcPr>
            <w:tcW w:w="5524" w:type="dxa"/>
            <w:vAlign w:val="center"/>
          </w:tcPr>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ВМК + німодипін,30 мкг⁄кг</w:t>
            </w:r>
            <w:r>
              <w:rPr>
                <w:rFonts w:ascii="Times New Roman" w:hAnsi="Times New Roman"/>
                <w:sz w:val="28"/>
                <w:szCs w:val="28"/>
                <w:lang w:val="uk-UA"/>
              </w:rPr>
              <w:t xml:space="preserve"> (</w:t>
            </w:r>
            <w:r w:rsidRPr="00E26341">
              <w:rPr>
                <w:rFonts w:ascii="Times New Roman" w:hAnsi="Times New Roman"/>
                <w:sz w:val="28"/>
                <w:szCs w:val="28"/>
                <w:lang w:val="uk-UA"/>
              </w:rPr>
              <w:t>n=15</w:t>
            </w:r>
            <w:r w:rsidRPr="00FD6349">
              <w:rPr>
                <w:rFonts w:ascii="Times New Roman" w:hAnsi="Times New Roman"/>
                <w:sz w:val="28"/>
                <w:szCs w:val="28"/>
                <w:lang w:val="uk-UA"/>
              </w:rPr>
              <w:t>)</w:t>
            </w:r>
          </w:p>
        </w:tc>
        <w:tc>
          <w:tcPr>
            <w:tcW w:w="2087"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1,154±0,046º*</w:t>
            </w:r>
            <w:r w:rsidRPr="00FD6349">
              <w:rPr>
                <w:rFonts w:ascii="Times New Roman" w:hAnsi="Times New Roman"/>
                <w:sz w:val="28"/>
                <w:szCs w:val="28"/>
                <w:vertAlign w:val="superscript"/>
                <w:lang w:val="uk-UA"/>
              </w:rPr>
              <w:t>#</w:t>
            </w:r>
          </w:p>
        </w:tc>
        <w:tc>
          <w:tcPr>
            <w:tcW w:w="2052"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0,296±0,016º*</w:t>
            </w:r>
            <w:r w:rsidRPr="00FD6349">
              <w:rPr>
                <w:rFonts w:ascii="Times New Roman" w:hAnsi="Times New Roman"/>
                <w:sz w:val="28"/>
                <w:szCs w:val="28"/>
                <w:vertAlign w:val="superscript"/>
                <w:lang w:val="uk-UA"/>
              </w:rPr>
              <w:t>#</w:t>
            </w:r>
            <w:r w:rsidRPr="00FD6349">
              <w:rPr>
                <w:rFonts w:ascii="Times New Roman" w:hAnsi="Times New Roman"/>
                <w:sz w:val="32"/>
                <w:szCs w:val="32"/>
                <w:vertAlign w:val="superscript"/>
                <w:lang w:val="uk-UA"/>
              </w:rPr>
              <w:t>4</w:t>
            </w:r>
          </w:p>
        </w:tc>
      </w:tr>
      <w:tr w:rsidR="001F0A71" w:rsidRPr="00FD6349" w:rsidTr="001F0A71">
        <w:trPr>
          <w:jc w:val="center"/>
        </w:trPr>
        <w:tc>
          <w:tcPr>
            <w:tcW w:w="5524" w:type="dxa"/>
            <w:vAlign w:val="center"/>
          </w:tcPr>
          <w:p w:rsidR="001F0A71" w:rsidRPr="00FD6349" w:rsidRDefault="001F0A71" w:rsidP="00473231">
            <w:pPr>
              <w:widowControl w:val="0"/>
              <w:spacing w:before="60" w:after="60" w:line="240" w:lineRule="auto"/>
              <w:rPr>
                <w:rFonts w:ascii="Times New Roman" w:hAnsi="Times New Roman"/>
                <w:sz w:val="28"/>
                <w:szCs w:val="28"/>
                <w:lang w:val="uk-UA"/>
              </w:rPr>
            </w:pPr>
            <w:r w:rsidRPr="00FD6349">
              <w:rPr>
                <w:rFonts w:ascii="Times New Roman" w:hAnsi="Times New Roman"/>
                <w:sz w:val="28"/>
                <w:szCs w:val="28"/>
                <w:lang w:val="uk-UA"/>
              </w:rPr>
              <w:t>ВМК + амантадину сульфат, 10 мг⁄кг</w:t>
            </w:r>
            <w:r>
              <w:rPr>
                <w:rFonts w:ascii="Times New Roman" w:hAnsi="Times New Roman"/>
                <w:sz w:val="28"/>
                <w:szCs w:val="28"/>
                <w:lang w:val="uk-UA"/>
              </w:rPr>
              <w:t>(</w:t>
            </w:r>
            <w:r w:rsidRPr="00E26341">
              <w:rPr>
                <w:rFonts w:ascii="Times New Roman" w:hAnsi="Times New Roman"/>
                <w:sz w:val="28"/>
                <w:szCs w:val="28"/>
                <w:lang w:val="uk-UA"/>
              </w:rPr>
              <w:t>n=15</w:t>
            </w:r>
            <w:r w:rsidRPr="00FD6349">
              <w:rPr>
                <w:rFonts w:ascii="Times New Roman" w:hAnsi="Times New Roman"/>
                <w:sz w:val="28"/>
                <w:szCs w:val="28"/>
                <w:lang w:val="uk-UA"/>
              </w:rPr>
              <w:t>)</w:t>
            </w:r>
          </w:p>
        </w:tc>
        <w:tc>
          <w:tcPr>
            <w:tcW w:w="2087"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1,256±0,059º*</w:t>
            </w:r>
            <w:r w:rsidRPr="00FD6349">
              <w:rPr>
                <w:rFonts w:ascii="Times New Roman" w:hAnsi="Times New Roman"/>
                <w:sz w:val="28"/>
                <w:szCs w:val="28"/>
                <w:vertAlign w:val="superscript"/>
                <w:lang w:val="uk-UA"/>
              </w:rPr>
              <w:t>#</w:t>
            </w:r>
          </w:p>
        </w:tc>
        <w:tc>
          <w:tcPr>
            <w:tcW w:w="2052"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0,308±0,007º*</w:t>
            </w:r>
            <w:r w:rsidRPr="00FD6349">
              <w:rPr>
                <w:rFonts w:ascii="Times New Roman" w:hAnsi="Times New Roman"/>
                <w:sz w:val="28"/>
                <w:szCs w:val="28"/>
                <w:vertAlign w:val="superscript"/>
                <w:lang w:val="uk-UA"/>
              </w:rPr>
              <w:t>#</w:t>
            </w:r>
            <w:r w:rsidRPr="00FD6349">
              <w:rPr>
                <w:rFonts w:ascii="Times New Roman" w:hAnsi="Times New Roman"/>
                <w:sz w:val="32"/>
                <w:szCs w:val="32"/>
                <w:vertAlign w:val="superscript"/>
                <w:lang w:val="uk-UA"/>
              </w:rPr>
              <w:t>4</w:t>
            </w:r>
          </w:p>
        </w:tc>
      </w:tr>
      <w:tr w:rsidR="001F0A71" w:rsidRPr="00FD6349" w:rsidTr="001F0A71">
        <w:trPr>
          <w:jc w:val="center"/>
        </w:trPr>
        <w:tc>
          <w:tcPr>
            <w:tcW w:w="5524" w:type="dxa"/>
            <w:vAlign w:val="center"/>
          </w:tcPr>
          <w:p w:rsidR="001F0A71" w:rsidRPr="00FD6349" w:rsidRDefault="001F0A71" w:rsidP="00473231">
            <w:pPr>
              <w:widowControl w:val="0"/>
              <w:spacing w:before="60" w:after="60" w:line="240" w:lineRule="auto"/>
              <w:rPr>
                <w:rFonts w:ascii="Times New Roman" w:hAnsi="Times New Roman"/>
                <w:sz w:val="28"/>
                <w:szCs w:val="28"/>
                <w:lang w:val="uk-UA"/>
              </w:rPr>
            </w:pPr>
            <w:r w:rsidRPr="00FD6349">
              <w:rPr>
                <w:rFonts w:ascii="Times New Roman" w:hAnsi="Times New Roman"/>
                <w:sz w:val="28"/>
                <w:szCs w:val="28"/>
                <w:lang w:val="uk-UA"/>
              </w:rPr>
              <w:t>ВМК + магнію сульфат, 250 мг⁄кг</w:t>
            </w:r>
            <w:r>
              <w:rPr>
                <w:rFonts w:ascii="Times New Roman" w:hAnsi="Times New Roman"/>
                <w:sz w:val="28"/>
                <w:szCs w:val="28"/>
                <w:lang w:val="uk-UA"/>
              </w:rPr>
              <w:t xml:space="preserve"> (</w:t>
            </w:r>
            <w:r w:rsidRPr="00E26341">
              <w:rPr>
                <w:rFonts w:ascii="Times New Roman" w:hAnsi="Times New Roman"/>
                <w:sz w:val="28"/>
                <w:szCs w:val="28"/>
                <w:lang w:val="uk-UA"/>
              </w:rPr>
              <w:t>n=15</w:t>
            </w:r>
            <w:r w:rsidRPr="00FD6349">
              <w:rPr>
                <w:rFonts w:ascii="Times New Roman" w:hAnsi="Times New Roman"/>
                <w:sz w:val="28"/>
                <w:szCs w:val="28"/>
                <w:lang w:val="uk-UA"/>
              </w:rPr>
              <w:t>)</w:t>
            </w:r>
          </w:p>
        </w:tc>
        <w:tc>
          <w:tcPr>
            <w:tcW w:w="2087"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1,898±0,087º*</w:t>
            </w:r>
          </w:p>
        </w:tc>
        <w:tc>
          <w:tcPr>
            <w:tcW w:w="2052"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0,581±0,013º*</w:t>
            </w:r>
            <w:r w:rsidRPr="00FD6349">
              <w:rPr>
                <w:rFonts w:ascii="Times New Roman" w:hAnsi="Times New Roman"/>
                <w:sz w:val="32"/>
                <w:szCs w:val="32"/>
                <w:vertAlign w:val="superscript"/>
                <w:lang w:val="uk-UA"/>
              </w:rPr>
              <w:t>4</w:t>
            </w:r>
          </w:p>
        </w:tc>
      </w:tr>
    </w:tbl>
    <w:p w:rsidR="001F0A71" w:rsidRPr="0036311A" w:rsidRDefault="001F0A71" w:rsidP="00B065B6">
      <w:pPr>
        <w:widowControl w:val="0"/>
        <w:tabs>
          <w:tab w:val="left" w:pos="1080"/>
        </w:tabs>
        <w:spacing w:after="0" w:line="240" w:lineRule="auto"/>
        <w:ind w:firstLine="284"/>
        <w:jc w:val="both"/>
        <w:rPr>
          <w:rFonts w:ascii="Times New Roman" w:hAnsi="Times New Roman"/>
          <w:sz w:val="28"/>
          <w:szCs w:val="28"/>
          <w:lang w:val="uk-UA"/>
        </w:rPr>
      </w:pPr>
    </w:p>
    <w:p w:rsidR="001F0A71" w:rsidRDefault="001F0A71" w:rsidP="00B065B6">
      <w:pPr>
        <w:widowControl w:val="0"/>
        <w:tabs>
          <w:tab w:val="left" w:pos="1080"/>
        </w:tabs>
        <w:spacing w:after="0" w:line="24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Примітки: </w:t>
      </w:r>
    </w:p>
    <w:p w:rsidR="001F0A71" w:rsidRPr="00FD6349" w:rsidRDefault="001F0A71" w:rsidP="00473231">
      <w:pPr>
        <w:pStyle w:val="a5"/>
        <w:widowControl w:val="0"/>
        <w:numPr>
          <w:ilvl w:val="0"/>
          <w:numId w:val="20"/>
        </w:numPr>
        <w:tabs>
          <w:tab w:val="left" w:pos="851"/>
          <w:tab w:val="left" w:pos="993"/>
          <w:tab w:val="left" w:pos="1560"/>
        </w:tabs>
        <w:spacing w:after="0" w:line="360" w:lineRule="auto"/>
        <w:ind w:left="709" w:firstLine="0"/>
        <w:jc w:val="both"/>
        <w:rPr>
          <w:rFonts w:ascii="Times New Roman" w:hAnsi="Times New Roman"/>
          <w:sz w:val="28"/>
          <w:szCs w:val="28"/>
          <w:lang w:val="uk-UA"/>
        </w:rPr>
      </w:pPr>
      <w:r w:rsidRPr="00FD6349">
        <w:rPr>
          <w:rFonts w:ascii="Times New Roman" w:hAnsi="Times New Roman"/>
          <w:sz w:val="28"/>
          <w:szCs w:val="28"/>
          <w:lang w:val="uk-UA"/>
        </w:rPr>
        <w:t>º – р&lt;0,05 відносно псевдооперованих тварин;</w:t>
      </w:r>
    </w:p>
    <w:p w:rsidR="001F0A71" w:rsidRPr="00A4725A" w:rsidRDefault="001F0A71" w:rsidP="00473231">
      <w:pPr>
        <w:pStyle w:val="a5"/>
        <w:widowControl w:val="0"/>
        <w:numPr>
          <w:ilvl w:val="0"/>
          <w:numId w:val="20"/>
        </w:numPr>
        <w:tabs>
          <w:tab w:val="left" w:pos="851"/>
          <w:tab w:val="left" w:pos="993"/>
          <w:tab w:val="left" w:pos="1560"/>
        </w:tabs>
        <w:spacing w:after="0" w:line="360" w:lineRule="auto"/>
        <w:ind w:left="709" w:firstLine="0"/>
        <w:jc w:val="both"/>
        <w:rPr>
          <w:rFonts w:ascii="Times New Roman" w:hAnsi="Times New Roman"/>
          <w:sz w:val="28"/>
          <w:szCs w:val="28"/>
          <w:lang w:val="uk-UA"/>
        </w:rPr>
      </w:pPr>
      <w:r w:rsidRPr="00A4725A">
        <w:rPr>
          <w:rFonts w:ascii="Times New Roman" w:hAnsi="Times New Roman"/>
          <w:sz w:val="28"/>
          <w:szCs w:val="28"/>
          <w:lang w:val="uk-UA"/>
        </w:rPr>
        <w:t>* – р&lt;0,05 відносно контрольної патології;</w:t>
      </w:r>
    </w:p>
    <w:p w:rsidR="001F0A71" w:rsidRPr="00A4725A" w:rsidRDefault="001F0A71" w:rsidP="00473231">
      <w:pPr>
        <w:pStyle w:val="a5"/>
        <w:widowControl w:val="0"/>
        <w:numPr>
          <w:ilvl w:val="0"/>
          <w:numId w:val="20"/>
        </w:numPr>
        <w:tabs>
          <w:tab w:val="left" w:pos="851"/>
          <w:tab w:val="left" w:pos="993"/>
          <w:tab w:val="left" w:pos="1560"/>
        </w:tabs>
        <w:spacing w:after="0" w:line="360" w:lineRule="auto"/>
        <w:ind w:left="709" w:firstLine="0"/>
        <w:rPr>
          <w:rFonts w:ascii="Times New Roman" w:hAnsi="Times New Roman"/>
          <w:sz w:val="28"/>
          <w:szCs w:val="28"/>
          <w:lang w:val="uk-UA"/>
        </w:rPr>
      </w:pPr>
      <w:r w:rsidRPr="00A4725A">
        <w:rPr>
          <w:rFonts w:ascii="Times New Roman" w:hAnsi="Times New Roman"/>
          <w:sz w:val="28"/>
          <w:szCs w:val="28"/>
          <w:vertAlign w:val="superscript"/>
          <w:lang w:val="uk-UA"/>
        </w:rPr>
        <w:t xml:space="preserve"># </w:t>
      </w:r>
      <w:r w:rsidRPr="00A4725A">
        <w:rPr>
          <w:rFonts w:ascii="Times New Roman" w:hAnsi="Times New Roman"/>
          <w:sz w:val="28"/>
          <w:szCs w:val="28"/>
          <w:lang w:val="uk-UA"/>
        </w:rPr>
        <w:t>– р&lt;0,05 відносно магнію сульфату (250 мг/кг);</w:t>
      </w:r>
    </w:p>
    <w:p w:rsidR="001F0A71" w:rsidRPr="00A4725A" w:rsidRDefault="001F0A71" w:rsidP="00473231">
      <w:pPr>
        <w:pStyle w:val="a5"/>
        <w:widowControl w:val="0"/>
        <w:numPr>
          <w:ilvl w:val="0"/>
          <w:numId w:val="20"/>
        </w:numPr>
        <w:tabs>
          <w:tab w:val="left" w:pos="851"/>
          <w:tab w:val="left" w:pos="993"/>
          <w:tab w:val="left" w:pos="1560"/>
        </w:tabs>
        <w:spacing w:after="0" w:line="360" w:lineRule="auto"/>
        <w:ind w:left="709" w:firstLine="0"/>
        <w:jc w:val="both"/>
        <w:rPr>
          <w:rFonts w:ascii="Times New Roman" w:hAnsi="Times New Roman"/>
          <w:sz w:val="28"/>
          <w:szCs w:val="28"/>
          <w:lang w:val="uk-UA"/>
        </w:rPr>
      </w:pPr>
      <w:r w:rsidRPr="00A4725A">
        <w:rPr>
          <w:rFonts w:ascii="Times New Roman" w:hAnsi="Times New Roman"/>
          <w:sz w:val="28"/>
          <w:szCs w:val="28"/>
          <w:vertAlign w:val="superscript"/>
          <w:lang w:val="uk-UA"/>
        </w:rPr>
        <w:t>&amp;</w:t>
      </w:r>
      <w:r w:rsidRPr="00A4725A">
        <w:rPr>
          <w:rFonts w:ascii="Times New Roman" w:hAnsi="Times New Roman"/>
          <w:sz w:val="28"/>
          <w:szCs w:val="28"/>
          <w:lang w:val="uk-UA"/>
        </w:rPr>
        <w:t>– р&lt;0,05 відносно амантадину сульфату (10 мг/кг);</w:t>
      </w:r>
    </w:p>
    <w:p w:rsidR="001F0A71" w:rsidRPr="00A4725A" w:rsidRDefault="001F0A71" w:rsidP="00473231">
      <w:pPr>
        <w:pStyle w:val="a5"/>
        <w:widowControl w:val="0"/>
        <w:numPr>
          <w:ilvl w:val="0"/>
          <w:numId w:val="20"/>
        </w:numPr>
        <w:tabs>
          <w:tab w:val="left" w:pos="851"/>
          <w:tab w:val="left" w:pos="993"/>
          <w:tab w:val="left" w:pos="1560"/>
        </w:tabs>
        <w:spacing w:after="0" w:line="360" w:lineRule="auto"/>
        <w:ind w:left="709" w:firstLine="0"/>
        <w:jc w:val="both"/>
        <w:rPr>
          <w:rFonts w:ascii="Times New Roman" w:hAnsi="Times New Roman"/>
          <w:sz w:val="28"/>
          <w:szCs w:val="28"/>
          <w:lang w:val="uk-UA"/>
        </w:rPr>
      </w:pPr>
      <w:r w:rsidRPr="00A4725A">
        <w:rPr>
          <w:rFonts w:ascii="Times New Roman" w:hAnsi="Times New Roman"/>
          <w:sz w:val="32"/>
          <w:szCs w:val="32"/>
          <w:vertAlign w:val="superscript"/>
          <w:lang w:val="uk-UA"/>
        </w:rPr>
        <w:t xml:space="preserve">4 </w:t>
      </w:r>
      <w:r w:rsidRPr="00A4725A">
        <w:rPr>
          <w:rFonts w:ascii="Times New Roman" w:hAnsi="Times New Roman"/>
          <w:sz w:val="28"/>
          <w:szCs w:val="28"/>
          <w:lang w:val="uk-UA"/>
        </w:rPr>
        <w:t>– р&lt;0,05 відносно 4-ої доби у відповідній групі.</w:t>
      </w:r>
    </w:p>
    <w:p w:rsidR="001F0A71" w:rsidRPr="0036311A" w:rsidRDefault="001F0A71" w:rsidP="00473231">
      <w:pPr>
        <w:widowControl w:val="0"/>
        <w:tabs>
          <w:tab w:val="left" w:pos="851"/>
          <w:tab w:val="left" w:pos="993"/>
          <w:tab w:val="left" w:pos="2552"/>
        </w:tabs>
        <w:spacing w:after="0" w:line="360" w:lineRule="auto"/>
        <w:ind w:left="709"/>
        <w:jc w:val="both"/>
        <w:rPr>
          <w:rFonts w:ascii="Times New Roman" w:hAnsi="Times New Roman"/>
          <w:sz w:val="28"/>
          <w:szCs w:val="28"/>
          <w:lang w:val="uk-UA"/>
        </w:rPr>
      </w:pPr>
    </w:p>
    <w:p w:rsidR="009C1175" w:rsidRPr="00FD6349" w:rsidRDefault="009C1175" w:rsidP="00B065B6">
      <w:pPr>
        <w:widowControl w:val="0"/>
        <w:tabs>
          <w:tab w:val="left" w:pos="360"/>
        </w:tabs>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Подібна негативна динаміка активності NSE в умовах ГПМК за геморагічним типом, свідчить не тільки про значну величину вогнища </w:t>
      </w:r>
      <w:r>
        <w:rPr>
          <w:rFonts w:ascii="Times New Roman" w:hAnsi="Times New Roman"/>
          <w:sz w:val="28"/>
          <w:szCs w:val="28"/>
          <w:lang w:val="uk-UA"/>
        </w:rPr>
        <w:t>ІР</w:t>
      </w:r>
      <w:r w:rsidRPr="00FD6349">
        <w:rPr>
          <w:rFonts w:ascii="Times New Roman" w:hAnsi="Times New Roman"/>
          <w:sz w:val="28"/>
          <w:szCs w:val="28"/>
          <w:lang w:val="uk-UA"/>
        </w:rPr>
        <w:t xml:space="preserve">, а й дозволяє з певною вірогідністю передбачити несприятливий прогноз для хворого (летальний кінець, значне погіршення когнітивно-мнестичних функцій, втрату адаптаційних </w:t>
      </w:r>
      <w:r w:rsidRPr="00FD6349">
        <w:rPr>
          <w:rFonts w:ascii="Times New Roman" w:hAnsi="Times New Roman"/>
          <w:sz w:val="28"/>
          <w:szCs w:val="28"/>
          <w:lang w:val="uk-UA"/>
        </w:rPr>
        <w:lastRenderedPageBreak/>
        <w:t>можливостей до навколишнього середовища, тощо).</w:t>
      </w:r>
    </w:p>
    <w:p w:rsidR="001F0A71" w:rsidRPr="00FD6349" w:rsidRDefault="001F0A71" w:rsidP="00B065B6">
      <w:pPr>
        <w:widowControl w:val="0"/>
        <w:shd w:val="clear" w:color="auto" w:fill="FFFFFF"/>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Рівень енолази у контрольних тварин є віддзеркаленням негативної динаміки показника летальності щурів та їх неврологічного статусу впродовж усього терміну спостереження (розділ 3).</w:t>
      </w:r>
    </w:p>
    <w:p w:rsidR="001F0A71" w:rsidRPr="00FD6349" w:rsidRDefault="001F0A71" w:rsidP="00B065B6">
      <w:pPr>
        <w:widowControl w:val="0"/>
        <w:shd w:val="clear" w:color="auto" w:fill="FFFFFF"/>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Лікувальне курсове в/в введення тваринам із ГПМК адемолу умовно-ефективною дозою 2 мг/кг, подібно німодипіну та амантадину сульфату, супроводжувалось менш інтенсивним зростанням активності NSE: через 96 год рівень ферменту зменшилась відносно контрольної групи відповідно у 2,63</w:t>
      </w:r>
      <w:r>
        <w:rPr>
          <w:rFonts w:ascii="Times New Roman" w:hAnsi="Times New Roman"/>
          <w:sz w:val="28"/>
          <w:szCs w:val="28"/>
          <w:lang w:val="uk-UA"/>
        </w:rPr>
        <w:t>;</w:t>
      </w:r>
      <w:r w:rsidRPr="00FD6349">
        <w:rPr>
          <w:rFonts w:ascii="Times New Roman" w:hAnsi="Times New Roman"/>
          <w:sz w:val="28"/>
          <w:szCs w:val="28"/>
          <w:lang w:val="uk-UA"/>
        </w:rPr>
        <w:t xml:space="preserve"> 2,45 та 2,25 рази, а через 21-ну добу – у 3,52</w:t>
      </w:r>
      <w:r>
        <w:rPr>
          <w:rFonts w:ascii="Times New Roman" w:hAnsi="Times New Roman"/>
          <w:sz w:val="28"/>
          <w:szCs w:val="28"/>
          <w:lang w:val="uk-UA"/>
        </w:rPr>
        <w:t>;</w:t>
      </w:r>
      <w:r w:rsidRPr="00FD6349">
        <w:rPr>
          <w:rFonts w:ascii="Times New Roman" w:hAnsi="Times New Roman"/>
          <w:sz w:val="28"/>
          <w:szCs w:val="28"/>
          <w:lang w:val="uk-UA"/>
        </w:rPr>
        <w:t xml:space="preserve"> 3,17 та 3,05 рази, р&lt;0,05. Така дія досліджуваних препаратів, може свідчити про наявність у них цитопротекторного ефекту. Причому, в умовах гострої церебральної </w:t>
      </w:r>
      <w:r>
        <w:rPr>
          <w:rFonts w:ascii="Times New Roman" w:hAnsi="Times New Roman"/>
          <w:sz w:val="28"/>
          <w:szCs w:val="28"/>
          <w:lang w:val="uk-UA"/>
        </w:rPr>
        <w:t>ІР</w:t>
      </w:r>
      <w:r w:rsidRPr="00FD6349">
        <w:rPr>
          <w:rFonts w:ascii="Times New Roman" w:hAnsi="Times New Roman"/>
          <w:sz w:val="28"/>
          <w:szCs w:val="28"/>
          <w:lang w:val="uk-UA"/>
        </w:rPr>
        <w:t xml:space="preserve"> за здатністю зменшувати рівень маркера нейродеструкції як у гострий так і у відновлювальний період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D6349">
        <w:rPr>
          <w:rFonts w:ascii="Times New Roman" w:hAnsi="Times New Roman"/>
          <w:sz w:val="28"/>
          <w:szCs w:val="28"/>
          <w:lang w:val="uk-UA"/>
        </w:rPr>
        <w:t>, терапія адемолом (2 мг/кг в/в), вірогідно переважає ефективність амантадину та магнію сульфату в середньому відповідно у 1,17 та 1,77 рази (4-та доба) та у 1,15 та 2,18 рази (21-ша доба), співставляючись при цьому з ефектом німодипіну в обидва строки.</w:t>
      </w:r>
    </w:p>
    <w:p w:rsidR="001F0A71" w:rsidRPr="00FD6349" w:rsidRDefault="001F0A71" w:rsidP="00B065B6">
      <w:pPr>
        <w:widowControl w:val="0"/>
        <w:shd w:val="clear" w:color="auto" w:fill="FFFFFF"/>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Стосовно дієвості магнію сульфату слід зауважити, що на тлі його лікувального введення цитопротекторна дія проявилась найменшою мірою, порівняно із рештою препаратів, хоча вірогідно зменшилась відносно контролю. Це цілком узгоджується із результатами, які ми отримали при моніторингу виживаності щурів з інтрацеребральноюгеморагією та їх неврологічного статусу впродовж усього періоду його застосування (див. розділ 3).</w:t>
      </w:r>
    </w:p>
    <w:p w:rsidR="001F0A71" w:rsidRPr="001F0A71" w:rsidRDefault="001F0A71" w:rsidP="00B065B6">
      <w:pPr>
        <w:widowControl w:val="0"/>
        <w:shd w:val="clear" w:color="auto" w:fill="FFFFFF"/>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Таким чином, наведені факти свідчать про спроможність адемолу сприяти </w:t>
      </w:r>
      <w:r w:rsidRPr="001F0A71">
        <w:rPr>
          <w:rFonts w:ascii="Times New Roman" w:hAnsi="Times New Roman"/>
          <w:sz w:val="28"/>
          <w:szCs w:val="28"/>
          <w:lang w:val="uk-UA"/>
        </w:rPr>
        <w:t xml:space="preserve">збереженню нейроцитоархітектоніки при модельній інтрацеребральнійгеморагії, що знайшло відповідне цитометричне підтвердження. </w:t>
      </w:r>
    </w:p>
    <w:p w:rsidR="001F0A71" w:rsidRPr="001F0A71" w:rsidRDefault="001F0A71" w:rsidP="00B065B6">
      <w:pPr>
        <w:pStyle w:val="2"/>
        <w:spacing w:line="360" w:lineRule="auto"/>
        <w:ind w:firstLine="284"/>
        <w:jc w:val="both"/>
        <w:rPr>
          <w:rFonts w:ascii="Times New Roman" w:hAnsi="Times New Roman" w:cs="Times New Roman"/>
          <w:color w:val="auto"/>
          <w:sz w:val="28"/>
          <w:szCs w:val="28"/>
          <w:lang w:val="uk-UA"/>
        </w:rPr>
      </w:pPr>
      <w:r w:rsidRPr="001F0A71">
        <w:rPr>
          <w:rFonts w:ascii="Times New Roman" w:hAnsi="Times New Roman" w:cs="Times New Roman"/>
          <w:color w:val="auto"/>
          <w:sz w:val="28"/>
          <w:szCs w:val="28"/>
          <w:lang w:val="uk-UA"/>
        </w:rPr>
        <w:t>5.2 Інтенсивність нейроапоптозу при експериментальному внутрішньомозковому крововиливі на тлі терапії адемолом</w:t>
      </w:r>
    </w:p>
    <w:p w:rsidR="001E560D" w:rsidRDefault="001F0A71" w:rsidP="001E560D">
      <w:pPr>
        <w:widowControl w:val="0"/>
        <w:tabs>
          <w:tab w:val="left" w:pos="1560"/>
        </w:tabs>
        <w:spacing w:after="0" w:line="360" w:lineRule="auto"/>
        <w:ind w:firstLine="284"/>
        <w:jc w:val="both"/>
        <w:rPr>
          <w:rFonts w:ascii="Times New Roman" w:hAnsi="Times New Roman"/>
          <w:sz w:val="28"/>
          <w:szCs w:val="28"/>
          <w:lang w:val="uk-UA"/>
        </w:rPr>
      </w:pPr>
      <w:r w:rsidRPr="001F0A71">
        <w:rPr>
          <w:rFonts w:ascii="Times New Roman" w:hAnsi="Times New Roman"/>
          <w:sz w:val="28"/>
          <w:szCs w:val="28"/>
          <w:lang w:val="uk-UA"/>
        </w:rPr>
        <w:t>При вивченні енолазної активності при ВМК та можливості впливу адемолу на деескалацію цього нейромаркеру</w:t>
      </w:r>
      <w:r w:rsidR="00C90A82">
        <w:rPr>
          <w:rFonts w:ascii="Times New Roman" w:hAnsi="Times New Roman"/>
          <w:sz w:val="28"/>
          <w:szCs w:val="28"/>
          <w:lang w:val="uk-UA"/>
        </w:rPr>
        <w:t xml:space="preserve">, ми </w:t>
      </w:r>
      <w:r w:rsidRPr="00FD6349">
        <w:rPr>
          <w:rFonts w:ascii="Times New Roman" w:hAnsi="Times New Roman"/>
          <w:sz w:val="28"/>
          <w:szCs w:val="28"/>
          <w:lang w:val="uk-UA"/>
        </w:rPr>
        <w:t xml:space="preserve"> оцінили спроможність препарату впливати на нейроцитоліз</w:t>
      </w:r>
      <w:r w:rsidR="00C90A82">
        <w:rPr>
          <w:rFonts w:ascii="Times New Roman" w:hAnsi="Times New Roman"/>
          <w:sz w:val="28"/>
          <w:szCs w:val="28"/>
          <w:lang w:val="uk-UA"/>
        </w:rPr>
        <w:t>. П</w:t>
      </w:r>
      <w:r w:rsidRPr="00FD6349">
        <w:rPr>
          <w:rFonts w:ascii="Times New Roman" w:hAnsi="Times New Roman"/>
          <w:sz w:val="28"/>
          <w:szCs w:val="28"/>
          <w:lang w:val="uk-UA"/>
        </w:rPr>
        <w:t xml:space="preserve">ослідовним є паралельне дослідження антиапоптотичної дії адемолу в аналогічний період інтрацеребральноїгеморагії. У даній експериментальній серії, </w:t>
      </w:r>
      <w:r w:rsidRPr="00FD6349">
        <w:rPr>
          <w:rFonts w:ascii="Times New Roman" w:hAnsi="Times New Roman"/>
          <w:sz w:val="28"/>
          <w:szCs w:val="28"/>
          <w:lang w:val="uk-UA"/>
        </w:rPr>
        <w:lastRenderedPageBreak/>
        <w:t>присвяченій оцінці протиаопоптотичних ефектів адемолу, цей феномен вивчали за допомогою методу протоковоїцитометрії (табл. 5.3 та рис. 5.1</w:t>
      </w:r>
      <w:r w:rsidRPr="00DC3EE7">
        <w:rPr>
          <w:rFonts w:ascii="Times New Roman" w:hAnsi="Times New Roman"/>
          <w:sz w:val="28"/>
          <w:szCs w:val="28"/>
          <w:lang w:val="uk-UA"/>
        </w:rPr>
        <w:t>–</w:t>
      </w:r>
      <w:r w:rsidRPr="00FD6349">
        <w:rPr>
          <w:rFonts w:ascii="Times New Roman" w:hAnsi="Times New Roman"/>
          <w:sz w:val="28"/>
          <w:szCs w:val="28"/>
          <w:lang w:val="uk-UA"/>
        </w:rPr>
        <w:t xml:space="preserve">5.4). </w:t>
      </w:r>
    </w:p>
    <w:p w:rsidR="001E560D" w:rsidRPr="00F4128A" w:rsidRDefault="001E560D" w:rsidP="001E560D">
      <w:pPr>
        <w:widowControl w:val="0"/>
        <w:tabs>
          <w:tab w:val="left" w:pos="1560"/>
        </w:tabs>
        <w:spacing w:after="0" w:line="360" w:lineRule="auto"/>
        <w:ind w:firstLine="284"/>
        <w:jc w:val="both"/>
        <w:rPr>
          <w:rFonts w:ascii="Times New Roman" w:hAnsi="Times New Roman"/>
          <w:sz w:val="28"/>
          <w:szCs w:val="28"/>
          <w:lang w:val="uk-UA"/>
        </w:rPr>
      </w:pPr>
      <w:r w:rsidRPr="00F4128A">
        <w:rPr>
          <w:rFonts w:ascii="Times New Roman" w:hAnsi="Times New Roman"/>
          <w:sz w:val="28"/>
          <w:szCs w:val="28"/>
          <w:lang w:val="uk-UA"/>
        </w:rPr>
        <w:t>У тварин групи контрольної патології інтенсивність фрагментації ДНК в ядрах нейронів лобних часток кори головного мозку вирогідно підвищилась в середньому у 1,83 рази (табл. 5.3, рис. 5.1 та рис. 5.2).</w:t>
      </w:r>
    </w:p>
    <w:p w:rsidR="001F0A71" w:rsidRDefault="001F0A71" w:rsidP="001F0A71">
      <w:pPr>
        <w:widowControl w:val="0"/>
        <w:spacing w:after="0" w:line="360" w:lineRule="auto"/>
        <w:ind w:right="-5" w:firstLine="284"/>
        <w:jc w:val="right"/>
        <w:rPr>
          <w:rFonts w:ascii="Times New Roman" w:hAnsi="Times New Roman"/>
          <w:sz w:val="28"/>
          <w:szCs w:val="28"/>
          <w:lang w:val="uk-UA"/>
        </w:rPr>
      </w:pPr>
      <w:r w:rsidRPr="00FD6349">
        <w:rPr>
          <w:rFonts w:ascii="Times New Roman" w:hAnsi="Times New Roman"/>
          <w:sz w:val="28"/>
          <w:szCs w:val="28"/>
          <w:lang w:val="uk-UA"/>
        </w:rPr>
        <w:t>Таблиця 5.3</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FD6349">
        <w:rPr>
          <w:rFonts w:ascii="Times New Roman" w:hAnsi="Times New Roman"/>
          <w:sz w:val="28"/>
          <w:szCs w:val="28"/>
          <w:lang w:val="uk-UA"/>
        </w:rPr>
        <w:t>Вплив адемолута німодипіну нафрагментацію ДНК в ядрах нейронів лобних часток кори головного мозку щурів із ВМК через 96 год терапії</w:t>
      </w:r>
      <w:r>
        <w:rPr>
          <w:rFonts w:ascii="Times New Roman" w:hAnsi="Times New Roman"/>
          <w:sz w:val="28"/>
          <w:szCs w:val="28"/>
          <w:lang w:val="uk-UA"/>
        </w:rPr>
        <w:t>,</w:t>
      </w:r>
      <w:r w:rsidRPr="00FD6349">
        <w:rPr>
          <w:rFonts w:ascii="Times New Roman" w:hAnsi="Times New Roman"/>
          <w:sz w:val="28"/>
          <w:szCs w:val="28"/>
          <w:lang w:val="uk-UA"/>
        </w:rPr>
        <w:t>М±m</w:t>
      </w:r>
    </w:p>
    <w:tbl>
      <w:tblPr>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2"/>
        <w:gridCol w:w="3260"/>
      </w:tblGrid>
      <w:tr w:rsidR="001F0A71" w:rsidRPr="00FD6349" w:rsidTr="001F0A71">
        <w:tc>
          <w:tcPr>
            <w:tcW w:w="6662" w:type="dxa"/>
            <w:vAlign w:val="center"/>
          </w:tcPr>
          <w:p w:rsidR="001F0A71" w:rsidRPr="00FD6349" w:rsidRDefault="001F0A71" w:rsidP="0036311A">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Умови досліду</w:t>
            </w:r>
          </w:p>
        </w:tc>
        <w:tc>
          <w:tcPr>
            <w:tcW w:w="3260" w:type="dxa"/>
            <w:vAlign w:val="center"/>
          </w:tcPr>
          <w:p w:rsidR="001F0A71" w:rsidRPr="00FD6349" w:rsidRDefault="001F0A71" w:rsidP="0036311A">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 xml:space="preserve">Фрагментація ДНК, % </w:t>
            </w:r>
          </w:p>
        </w:tc>
      </w:tr>
      <w:tr w:rsidR="001F0A71" w:rsidRPr="00FD6349" w:rsidTr="001F0A71">
        <w:tc>
          <w:tcPr>
            <w:tcW w:w="6662" w:type="dxa"/>
            <w:vAlign w:val="center"/>
          </w:tcPr>
          <w:p w:rsidR="001F0A71" w:rsidRPr="00FD6349" w:rsidRDefault="001F0A71" w:rsidP="0036311A">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Псевдооперовані тварини + 0,9% NаСІ, 2 мл/кг(</w:t>
            </w:r>
            <w:r w:rsidRPr="0059239E">
              <w:rPr>
                <w:rFonts w:ascii="Times New Roman" w:hAnsi="Times New Roman"/>
                <w:sz w:val="28"/>
                <w:szCs w:val="28"/>
                <w:lang w:val="uk-UA"/>
              </w:rPr>
              <w:t>n=8</w:t>
            </w:r>
            <w:r w:rsidRPr="00FD6349">
              <w:rPr>
                <w:rFonts w:ascii="Times New Roman" w:hAnsi="Times New Roman"/>
                <w:sz w:val="28"/>
                <w:szCs w:val="28"/>
                <w:lang w:val="uk-UA"/>
              </w:rPr>
              <w:t>)</w:t>
            </w:r>
          </w:p>
        </w:tc>
        <w:tc>
          <w:tcPr>
            <w:tcW w:w="3260" w:type="dxa"/>
            <w:vAlign w:val="center"/>
          </w:tcPr>
          <w:p w:rsidR="001F0A71" w:rsidRPr="00FD6349" w:rsidRDefault="001F0A71" w:rsidP="0036311A">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7,96±0,35</w:t>
            </w:r>
          </w:p>
        </w:tc>
      </w:tr>
      <w:tr w:rsidR="001F0A71" w:rsidRPr="00FD6349" w:rsidTr="001F0A71">
        <w:tc>
          <w:tcPr>
            <w:tcW w:w="6662" w:type="dxa"/>
            <w:vAlign w:val="center"/>
          </w:tcPr>
          <w:p w:rsidR="001F0A71" w:rsidRPr="00FD6349" w:rsidRDefault="001F0A71" w:rsidP="0036311A">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ВМК + 0,9% NаСІ, 2 мл/кг(група контрольної патології)(</w:t>
            </w:r>
            <w:r w:rsidRPr="0059239E">
              <w:rPr>
                <w:rFonts w:ascii="Times New Roman" w:hAnsi="Times New Roman"/>
                <w:sz w:val="28"/>
                <w:szCs w:val="28"/>
                <w:lang w:val="uk-UA"/>
              </w:rPr>
              <w:t>n=8</w:t>
            </w:r>
            <w:r w:rsidRPr="00FD6349">
              <w:rPr>
                <w:rFonts w:ascii="Times New Roman" w:hAnsi="Times New Roman"/>
                <w:sz w:val="28"/>
                <w:szCs w:val="28"/>
                <w:lang w:val="uk-UA"/>
              </w:rPr>
              <w:t>)</w:t>
            </w:r>
          </w:p>
        </w:tc>
        <w:tc>
          <w:tcPr>
            <w:tcW w:w="3260" w:type="dxa"/>
            <w:vAlign w:val="center"/>
          </w:tcPr>
          <w:p w:rsidR="001F0A71" w:rsidRPr="00FD6349" w:rsidRDefault="001F0A71" w:rsidP="0036311A">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14,58±0,61º</w:t>
            </w:r>
          </w:p>
        </w:tc>
      </w:tr>
      <w:tr w:rsidR="001F0A71" w:rsidRPr="00FD6349" w:rsidTr="001F0A71">
        <w:tc>
          <w:tcPr>
            <w:tcW w:w="6662" w:type="dxa"/>
            <w:vAlign w:val="center"/>
          </w:tcPr>
          <w:p w:rsidR="001F0A71" w:rsidRPr="00FD6349" w:rsidRDefault="001F0A71" w:rsidP="0036311A">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ВМК</w:t>
            </w:r>
            <w:r w:rsidRPr="00FD6349">
              <w:rPr>
                <w:rFonts w:ascii="Times New Roman" w:hAnsi="Times New Roman"/>
                <w:b/>
                <w:sz w:val="28"/>
                <w:szCs w:val="28"/>
                <w:lang w:val="uk-UA"/>
              </w:rPr>
              <w:t xml:space="preserve"> + </w:t>
            </w:r>
            <w:r w:rsidRPr="00FD6349">
              <w:rPr>
                <w:rFonts w:ascii="Times New Roman" w:hAnsi="Times New Roman"/>
                <w:sz w:val="28"/>
                <w:szCs w:val="28"/>
                <w:lang w:val="uk-UA"/>
              </w:rPr>
              <w:t>адемол, 2 мг⁄кг, (</w:t>
            </w:r>
            <w:r w:rsidRPr="0059239E">
              <w:rPr>
                <w:rFonts w:ascii="Times New Roman" w:hAnsi="Times New Roman"/>
                <w:sz w:val="28"/>
                <w:szCs w:val="28"/>
                <w:lang w:val="uk-UA"/>
              </w:rPr>
              <w:t>n=8</w:t>
            </w:r>
            <w:r w:rsidRPr="00FD6349">
              <w:rPr>
                <w:rFonts w:ascii="Times New Roman" w:hAnsi="Times New Roman"/>
                <w:sz w:val="28"/>
                <w:szCs w:val="28"/>
                <w:lang w:val="uk-UA"/>
              </w:rPr>
              <w:t>)</w:t>
            </w:r>
          </w:p>
        </w:tc>
        <w:tc>
          <w:tcPr>
            <w:tcW w:w="3260" w:type="dxa"/>
            <w:vAlign w:val="center"/>
          </w:tcPr>
          <w:p w:rsidR="001F0A71" w:rsidRPr="00FD6349" w:rsidRDefault="001F0A71" w:rsidP="0036311A">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10,02±0,40º*</w:t>
            </w:r>
          </w:p>
        </w:tc>
      </w:tr>
      <w:tr w:rsidR="001F0A71" w:rsidRPr="00FD6349" w:rsidTr="001F0A71">
        <w:tc>
          <w:tcPr>
            <w:tcW w:w="6662" w:type="dxa"/>
            <w:vAlign w:val="center"/>
          </w:tcPr>
          <w:p w:rsidR="001F0A71" w:rsidRPr="00FD6349" w:rsidRDefault="001F0A71" w:rsidP="0036311A">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ВМК + німодипін,30 мкг⁄кг(</w:t>
            </w:r>
            <w:r w:rsidRPr="0059239E">
              <w:rPr>
                <w:rFonts w:ascii="Times New Roman" w:hAnsi="Times New Roman"/>
                <w:sz w:val="28"/>
                <w:szCs w:val="28"/>
                <w:lang w:val="uk-UA"/>
              </w:rPr>
              <w:t>n=8</w:t>
            </w:r>
            <w:r w:rsidRPr="00FD6349">
              <w:rPr>
                <w:rFonts w:ascii="Times New Roman" w:hAnsi="Times New Roman"/>
                <w:sz w:val="28"/>
                <w:szCs w:val="28"/>
                <w:lang w:val="uk-UA"/>
              </w:rPr>
              <w:t>)</w:t>
            </w:r>
          </w:p>
        </w:tc>
        <w:tc>
          <w:tcPr>
            <w:tcW w:w="3260" w:type="dxa"/>
            <w:vAlign w:val="center"/>
          </w:tcPr>
          <w:p w:rsidR="001F0A71" w:rsidRPr="00FD6349" w:rsidRDefault="001F0A71" w:rsidP="0036311A">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11,32±0,44º*</w:t>
            </w:r>
          </w:p>
        </w:tc>
      </w:tr>
    </w:tbl>
    <w:p w:rsidR="001F0A71" w:rsidRPr="00BC1036" w:rsidRDefault="001F0A71" w:rsidP="00B065B6">
      <w:pPr>
        <w:widowControl w:val="0"/>
        <w:tabs>
          <w:tab w:val="left" w:pos="1080"/>
        </w:tabs>
        <w:spacing w:after="0" w:line="240" w:lineRule="auto"/>
        <w:ind w:firstLine="284"/>
        <w:jc w:val="both"/>
        <w:rPr>
          <w:rFonts w:ascii="Times New Roman" w:hAnsi="Times New Roman"/>
          <w:sz w:val="16"/>
          <w:szCs w:val="16"/>
          <w:lang w:val="uk-UA"/>
        </w:rPr>
      </w:pPr>
    </w:p>
    <w:p w:rsidR="001F0A71" w:rsidRPr="00FD6349" w:rsidRDefault="001F0A71" w:rsidP="00B065B6">
      <w:pPr>
        <w:widowControl w:val="0"/>
        <w:tabs>
          <w:tab w:val="left" w:pos="1080"/>
        </w:tabs>
        <w:spacing w:after="0" w:line="24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Примітки: </w:t>
      </w:r>
    </w:p>
    <w:p w:rsidR="001F0A71" w:rsidRPr="00FD6349" w:rsidRDefault="001F0A71" w:rsidP="00473231">
      <w:pPr>
        <w:pStyle w:val="a5"/>
        <w:widowControl w:val="0"/>
        <w:numPr>
          <w:ilvl w:val="0"/>
          <w:numId w:val="21"/>
        </w:numPr>
        <w:tabs>
          <w:tab w:val="left" w:pos="567"/>
          <w:tab w:val="left" w:pos="851"/>
          <w:tab w:val="left" w:pos="993"/>
        </w:tabs>
        <w:spacing w:after="0" w:line="360" w:lineRule="auto"/>
        <w:ind w:left="709" w:firstLine="0"/>
        <w:jc w:val="both"/>
        <w:rPr>
          <w:rFonts w:ascii="Times New Roman" w:hAnsi="Times New Roman"/>
          <w:sz w:val="28"/>
          <w:szCs w:val="28"/>
          <w:lang w:val="uk-UA"/>
        </w:rPr>
      </w:pPr>
      <w:r w:rsidRPr="00FD6349">
        <w:rPr>
          <w:rFonts w:ascii="Times New Roman" w:hAnsi="Times New Roman"/>
          <w:sz w:val="28"/>
          <w:szCs w:val="28"/>
          <w:lang w:val="uk-UA"/>
        </w:rPr>
        <w:t>º – р&lt;0,05 відносно псевдооперованих тварин;</w:t>
      </w:r>
    </w:p>
    <w:p w:rsidR="001F0A71" w:rsidRPr="00BC1036" w:rsidRDefault="001F0A71" w:rsidP="00473231">
      <w:pPr>
        <w:pStyle w:val="a5"/>
        <w:widowControl w:val="0"/>
        <w:numPr>
          <w:ilvl w:val="0"/>
          <w:numId w:val="21"/>
        </w:numPr>
        <w:tabs>
          <w:tab w:val="left" w:pos="567"/>
          <w:tab w:val="left" w:pos="851"/>
          <w:tab w:val="left" w:pos="993"/>
        </w:tabs>
        <w:spacing w:after="0" w:line="360" w:lineRule="auto"/>
        <w:ind w:left="709" w:firstLine="0"/>
        <w:jc w:val="both"/>
        <w:rPr>
          <w:rFonts w:ascii="Times New Roman" w:hAnsi="Times New Roman"/>
          <w:sz w:val="28"/>
          <w:szCs w:val="28"/>
          <w:lang w:val="uk-UA"/>
        </w:rPr>
      </w:pPr>
      <w:r w:rsidRPr="00BC1036">
        <w:rPr>
          <w:rFonts w:ascii="Times New Roman" w:hAnsi="Times New Roman"/>
          <w:sz w:val="28"/>
          <w:szCs w:val="28"/>
          <w:lang w:val="uk-UA"/>
        </w:rPr>
        <w:t>* – р&lt;0,05 відносно контрольної патології;</w:t>
      </w:r>
    </w:p>
    <w:p w:rsidR="001F0A71" w:rsidRDefault="001F0A71" w:rsidP="00473231">
      <w:pPr>
        <w:pStyle w:val="a5"/>
        <w:widowControl w:val="0"/>
        <w:numPr>
          <w:ilvl w:val="0"/>
          <w:numId w:val="21"/>
        </w:numPr>
        <w:tabs>
          <w:tab w:val="left" w:pos="567"/>
          <w:tab w:val="left" w:pos="851"/>
          <w:tab w:val="left" w:pos="993"/>
        </w:tabs>
        <w:spacing w:after="0" w:line="360" w:lineRule="auto"/>
        <w:ind w:left="709" w:firstLine="0"/>
        <w:jc w:val="both"/>
        <w:rPr>
          <w:rFonts w:ascii="Times New Roman" w:hAnsi="Times New Roman"/>
          <w:sz w:val="28"/>
          <w:szCs w:val="28"/>
          <w:lang w:val="uk-UA"/>
        </w:rPr>
      </w:pPr>
      <w:r w:rsidRPr="00BC1036">
        <w:rPr>
          <w:rFonts w:ascii="Times New Roman" w:hAnsi="Times New Roman"/>
          <w:sz w:val="28"/>
          <w:szCs w:val="28"/>
          <w:lang w:val="uk-UA"/>
        </w:rPr>
        <w:t>α – р&lt;0,05 відносно німодипіну.</w:t>
      </w:r>
    </w:p>
    <w:p w:rsidR="00F4128A" w:rsidRPr="001E560D" w:rsidRDefault="00F4128A" w:rsidP="00B065B6">
      <w:pPr>
        <w:widowControl w:val="0"/>
        <w:tabs>
          <w:tab w:val="left" w:pos="1560"/>
        </w:tabs>
        <w:spacing w:after="0" w:line="360" w:lineRule="auto"/>
        <w:ind w:firstLine="284"/>
        <w:jc w:val="both"/>
        <w:rPr>
          <w:rFonts w:ascii="Times New Roman" w:hAnsi="Times New Roman"/>
          <w:sz w:val="16"/>
          <w:szCs w:val="16"/>
          <w:lang w:val="uk-UA"/>
        </w:rPr>
      </w:pPr>
    </w:p>
    <w:p w:rsidR="001F0A71" w:rsidRDefault="001F0A71" w:rsidP="001F0A71">
      <w:pPr>
        <w:widowControl w:val="0"/>
        <w:spacing w:after="0" w:line="360" w:lineRule="auto"/>
        <w:ind w:firstLine="284"/>
        <w:jc w:val="center"/>
        <w:rPr>
          <w:rFonts w:ascii="Times New Roman" w:hAnsi="Times New Roman"/>
          <w:b/>
          <w:sz w:val="16"/>
          <w:szCs w:val="16"/>
          <w:lang w:val="uk-UA"/>
        </w:rPr>
      </w:pPr>
      <w:r w:rsidRPr="00FD6349">
        <w:rPr>
          <w:rFonts w:ascii="Times New Roman" w:hAnsi="Times New Roman"/>
          <w:b/>
          <w:noProof/>
          <w:sz w:val="28"/>
          <w:szCs w:val="28"/>
        </w:rPr>
        <w:drawing>
          <wp:inline distT="0" distB="0" distL="0" distR="0">
            <wp:extent cx="4013860" cy="3206337"/>
            <wp:effectExtent l="0" t="0" r="5715" b="0"/>
            <wp:docPr id="6" name="Рисунок 6" descr="F:\Алексей Анатолиевич\Изображение 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F:\Алексей Анатолиевич\Изображение 001.jpg"/>
                    <pic:cNvPicPr>
                      <a:picLocks noChangeArrowheads="1"/>
                    </pic:cNvPicPr>
                  </pic:nvPicPr>
                  <pic:blipFill>
                    <a:blip r:embed="rId30" cstate="email">
                      <a:lum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082073" cy="3260827"/>
                    </a:xfrm>
                    <a:prstGeom prst="rect">
                      <a:avLst/>
                    </a:prstGeom>
                    <a:noFill/>
                    <a:ln>
                      <a:noFill/>
                    </a:ln>
                  </pic:spPr>
                </pic:pic>
              </a:graphicData>
            </a:graphic>
          </wp:inline>
        </w:drawing>
      </w:r>
    </w:p>
    <w:p w:rsidR="00473231" w:rsidRPr="00BC1036" w:rsidRDefault="00473231" w:rsidP="001F0A71">
      <w:pPr>
        <w:widowControl w:val="0"/>
        <w:spacing w:after="0" w:line="360" w:lineRule="auto"/>
        <w:ind w:firstLine="284"/>
        <w:jc w:val="center"/>
        <w:rPr>
          <w:rFonts w:ascii="Times New Roman" w:hAnsi="Times New Roman"/>
          <w:b/>
          <w:sz w:val="16"/>
          <w:szCs w:val="16"/>
          <w:lang w:val="uk-UA"/>
        </w:rPr>
      </w:pPr>
    </w:p>
    <w:p w:rsidR="001F0A71" w:rsidRDefault="001F0A71" w:rsidP="001E560D">
      <w:pPr>
        <w:widowControl w:val="0"/>
        <w:spacing w:after="0" w:line="24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Рис. 5.1 Приклад ДНК-гістограми клітин кори головного мозку </w:t>
      </w:r>
      <w:r w:rsidRPr="00FD6349">
        <w:rPr>
          <w:rFonts w:ascii="Times New Roman" w:hAnsi="Times New Roman"/>
          <w:sz w:val="28"/>
          <w:szCs w:val="28"/>
          <w:lang w:val="uk-UA"/>
        </w:rPr>
        <w:lastRenderedPageBreak/>
        <w:t>псевдооперованого щура через 96 год. Кількість подій 10000. SUB-G0G1 – фрагментація ДНК 7,68 %</w:t>
      </w:r>
    </w:p>
    <w:p w:rsidR="0018259F" w:rsidRPr="0018259F" w:rsidRDefault="0018259F" w:rsidP="001F0A71">
      <w:pPr>
        <w:widowControl w:val="0"/>
        <w:spacing w:after="0" w:line="360" w:lineRule="auto"/>
        <w:ind w:firstLine="284"/>
        <w:jc w:val="center"/>
        <w:rPr>
          <w:rFonts w:ascii="Times New Roman" w:hAnsi="Times New Roman"/>
          <w:noProof/>
          <w:sz w:val="28"/>
          <w:szCs w:val="28"/>
          <w:lang w:val="uk-UA"/>
        </w:rPr>
      </w:pPr>
    </w:p>
    <w:p w:rsidR="001F0A71" w:rsidRDefault="001F0A71" w:rsidP="001F0A71">
      <w:pPr>
        <w:widowControl w:val="0"/>
        <w:spacing w:after="0" w:line="360" w:lineRule="auto"/>
        <w:ind w:firstLine="284"/>
        <w:jc w:val="center"/>
        <w:rPr>
          <w:rFonts w:ascii="Times New Roman" w:hAnsi="Times New Roman"/>
          <w:b/>
          <w:sz w:val="28"/>
          <w:szCs w:val="28"/>
          <w:lang w:val="uk-UA"/>
        </w:rPr>
      </w:pPr>
      <w:r w:rsidRPr="00FD6349">
        <w:rPr>
          <w:rFonts w:ascii="Times New Roman" w:hAnsi="Times New Roman"/>
          <w:noProof/>
          <w:sz w:val="28"/>
          <w:szCs w:val="28"/>
        </w:rPr>
        <w:drawing>
          <wp:inline distT="0" distB="0" distL="0" distR="0">
            <wp:extent cx="4604342" cy="3287486"/>
            <wp:effectExtent l="0" t="0" r="6350" b="8255"/>
            <wp:docPr id="7" name="Рисунок 7" descr="F:\Алексей Анатолиевич\Изображение 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F:\Алексей Анатолиевич\Изображение 003.jpg"/>
                    <pic:cNvPicPr>
                      <a:picLocks noChangeArrowheads="1"/>
                    </pic:cNvPicPr>
                  </pic:nvPicPr>
                  <pic:blipFill>
                    <a:blip r:embed="rId31" cstate="email">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658275" cy="3325994"/>
                    </a:xfrm>
                    <a:prstGeom prst="rect">
                      <a:avLst/>
                    </a:prstGeom>
                    <a:noFill/>
                    <a:ln>
                      <a:noFill/>
                    </a:ln>
                  </pic:spPr>
                </pic:pic>
              </a:graphicData>
            </a:graphic>
          </wp:inline>
        </w:drawing>
      </w:r>
    </w:p>
    <w:p w:rsidR="00473231" w:rsidRPr="00FD6349" w:rsidRDefault="00473231" w:rsidP="001F0A71">
      <w:pPr>
        <w:widowControl w:val="0"/>
        <w:spacing w:after="0" w:line="360" w:lineRule="auto"/>
        <w:ind w:firstLine="284"/>
        <w:jc w:val="center"/>
        <w:rPr>
          <w:rFonts w:ascii="Times New Roman" w:hAnsi="Times New Roman"/>
          <w:b/>
          <w:sz w:val="28"/>
          <w:szCs w:val="28"/>
          <w:lang w:val="uk-UA"/>
        </w:rPr>
      </w:pPr>
    </w:p>
    <w:p w:rsidR="001F0A71" w:rsidRPr="00FD6349" w:rsidRDefault="001F0A71" w:rsidP="001E560D">
      <w:pPr>
        <w:widowControl w:val="0"/>
        <w:tabs>
          <w:tab w:val="left" w:pos="284"/>
        </w:tabs>
        <w:spacing w:after="0" w:line="240" w:lineRule="auto"/>
        <w:ind w:left="142" w:firstLine="142"/>
        <w:jc w:val="both"/>
        <w:rPr>
          <w:rFonts w:ascii="Times New Roman" w:hAnsi="Times New Roman"/>
          <w:sz w:val="28"/>
          <w:szCs w:val="28"/>
          <w:lang w:val="uk-UA"/>
        </w:rPr>
      </w:pPr>
      <w:r w:rsidRPr="00FD6349">
        <w:rPr>
          <w:rFonts w:ascii="Times New Roman" w:hAnsi="Times New Roman"/>
          <w:sz w:val="28"/>
          <w:szCs w:val="28"/>
          <w:lang w:val="uk-UA"/>
        </w:rPr>
        <w:t>Рис. 5.2 Приклад ДНК-гістограми клітин кори головного мозку щура групи контрольної патології через 96 год. Кількість подій 10000. SUB-G0G1 – фрагментація ДНК 14,31 %</w:t>
      </w:r>
    </w:p>
    <w:p w:rsidR="001F0A71" w:rsidRPr="00BB6F54" w:rsidRDefault="001F0A71" w:rsidP="00B065B6">
      <w:pPr>
        <w:widowControl w:val="0"/>
        <w:shd w:val="clear" w:color="auto" w:fill="FFFFFF"/>
        <w:spacing w:after="0" w:line="360" w:lineRule="auto"/>
        <w:ind w:firstLine="284"/>
        <w:jc w:val="both"/>
        <w:rPr>
          <w:rFonts w:ascii="Times New Roman" w:hAnsi="Times New Roman"/>
          <w:sz w:val="16"/>
          <w:szCs w:val="16"/>
          <w:lang w:val="uk-UA"/>
        </w:rPr>
      </w:pPr>
    </w:p>
    <w:p w:rsidR="001F0A71" w:rsidRPr="00FD6349" w:rsidRDefault="001F0A71" w:rsidP="001F0A71">
      <w:pPr>
        <w:widowControl w:val="0"/>
        <w:spacing w:after="0" w:line="360" w:lineRule="auto"/>
        <w:ind w:firstLine="284"/>
        <w:jc w:val="center"/>
        <w:rPr>
          <w:rFonts w:ascii="Times New Roman" w:hAnsi="Times New Roman"/>
          <w:sz w:val="28"/>
          <w:szCs w:val="28"/>
          <w:lang w:val="uk-UA"/>
        </w:rPr>
      </w:pPr>
      <w:r w:rsidRPr="00FD6349">
        <w:rPr>
          <w:rFonts w:ascii="Times New Roman" w:hAnsi="Times New Roman"/>
          <w:noProof/>
          <w:sz w:val="28"/>
          <w:szCs w:val="28"/>
        </w:rPr>
        <w:drawing>
          <wp:inline distT="0" distB="0" distL="0" distR="0">
            <wp:extent cx="4416434" cy="3483428"/>
            <wp:effectExtent l="0" t="0" r="3175" b="3175"/>
            <wp:docPr id="8" name="Рисунок 8" descr="F:\Алексей Анатолиевич\Изображение.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F:\Алексей Анатолиевич\Изображение.jpg"/>
                    <pic:cNvPicPr>
                      <a:picLocks noChangeArrowheads="1"/>
                    </pic:cNvPicPr>
                  </pic:nvPicPr>
                  <pic:blipFill>
                    <a:blip r:embed="rId32" cstate="email">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455486" cy="3514230"/>
                    </a:xfrm>
                    <a:prstGeom prst="rect">
                      <a:avLst/>
                    </a:prstGeom>
                    <a:noFill/>
                    <a:ln>
                      <a:noFill/>
                    </a:ln>
                  </pic:spPr>
                </pic:pic>
              </a:graphicData>
            </a:graphic>
          </wp:inline>
        </w:drawing>
      </w:r>
    </w:p>
    <w:p w:rsidR="001F0A71" w:rsidRPr="00FD6349" w:rsidRDefault="001F0A71" w:rsidP="00BB6F54">
      <w:pPr>
        <w:widowControl w:val="0"/>
        <w:tabs>
          <w:tab w:val="left" w:pos="284"/>
        </w:tabs>
        <w:spacing w:after="0" w:line="240" w:lineRule="auto"/>
        <w:ind w:left="-142" w:firstLine="426"/>
        <w:jc w:val="both"/>
        <w:rPr>
          <w:rFonts w:ascii="Times New Roman" w:hAnsi="Times New Roman"/>
          <w:sz w:val="28"/>
          <w:szCs w:val="28"/>
          <w:lang w:val="uk-UA"/>
        </w:rPr>
      </w:pPr>
      <w:r w:rsidRPr="00FD6349">
        <w:rPr>
          <w:rFonts w:ascii="Times New Roman" w:hAnsi="Times New Roman"/>
          <w:sz w:val="28"/>
          <w:szCs w:val="28"/>
          <w:lang w:val="uk-UA"/>
        </w:rPr>
        <w:t xml:space="preserve">Рис. 5.3 Приклад ДНК-гістограми клітин кори головного мозку щура із ВМК через 96 год терапії адемолом (2 мл/кг). Кількість подій 10000. SUB-G0G1 – </w:t>
      </w:r>
      <w:r w:rsidRPr="00FD6349">
        <w:rPr>
          <w:rFonts w:ascii="Times New Roman" w:hAnsi="Times New Roman"/>
          <w:sz w:val="28"/>
          <w:szCs w:val="28"/>
          <w:lang w:val="uk-UA"/>
        </w:rPr>
        <w:lastRenderedPageBreak/>
        <w:t>фрагментація ДНК 10,74 %</w:t>
      </w:r>
    </w:p>
    <w:p w:rsidR="0036311A" w:rsidRDefault="0036311A" w:rsidP="0036311A">
      <w:pPr>
        <w:widowControl w:val="0"/>
        <w:shd w:val="clear" w:color="auto" w:fill="FFFFFF"/>
        <w:spacing w:after="0" w:line="360" w:lineRule="auto"/>
        <w:ind w:firstLine="284"/>
        <w:jc w:val="both"/>
        <w:rPr>
          <w:rFonts w:ascii="Times New Roman" w:hAnsi="Times New Roman"/>
          <w:sz w:val="28"/>
          <w:szCs w:val="28"/>
          <w:lang w:val="uk-UA"/>
        </w:rPr>
      </w:pPr>
    </w:p>
    <w:p w:rsidR="0036311A" w:rsidRDefault="0036311A" w:rsidP="0036311A">
      <w:pPr>
        <w:widowControl w:val="0"/>
        <w:shd w:val="clear" w:color="auto" w:fill="FFFFFF"/>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При цьому, адемол за антиапоптотичним ефектом перевершував референт в середньому на 13,0 %, р&lt;0,05.</w:t>
      </w:r>
    </w:p>
    <w:p w:rsidR="0036311A" w:rsidRPr="00FD6349" w:rsidRDefault="0036311A" w:rsidP="0036311A">
      <w:pPr>
        <w:widowControl w:val="0"/>
        <w:shd w:val="clear" w:color="auto" w:fill="FFFFFF"/>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Очевидно, пригнічення апоптозу може свідчити про редукцію зони пенумбри за рахунок збільшення числа функціонально активних нейронів. </w:t>
      </w:r>
    </w:p>
    <w:p w:rsidR="0018259F" w:rsidRPr="00FD6349" w:rsidRDefault="0018259F" w:rsidP="0018259F">
      <w:pPr>
        <w:widowControl w:val="0"/>
        <w:spacing w:after="0" w:line="360" w:lineRule="auto"/>
        <w:ind w:firstLine="284"/>
        <w:jc w:val="both"/>
        <w:rPr>
          <w:rFonts w:ascii="Times New Roman" w:hAnsi="Times New Roman"/>
          <w:b/>
          <w:sz w:val="28"/>
          <w:szCs w:val="28"/>
          <w:lang w:val="uk-UA"/>
        </w:rPr>
      </w:pPr>
      <w:r w:rsidRPr="00FD6349">
        <w:rPr>
          <w:rFonts w:ascii="Times New Roman" w:hAnsi="Times New Roman"/>
          <w:sz w:val="28"/>
          <w:szCs w:val="28"/>
          <w:lang w:val="uk-UA"/>
        </w:rPr>
        <w:t>За даними наших попередніх досліджень лікувальне введення щурам з ВМК адемолу призводить до зниження величини деструктивних змін (нейронального некрозу) в перехідній зоні пенумбри. Пригнічення апоптозу, може свідчити про редукцію зони пенумбри за рахунок збільшення числа функціонально активних нейронів.</w:t>
      </w:r>
    </w:p>
    <w:p w:rsidR="00BB6F54" w:rsidRPr="001F0A71" w:rsidRDefault="00BB6F54" w:rsidP="00BB6F54">
      <w:pPr>
        <w:widowControl w:val="0"/>
        <w:shd w:val="clear" w:color="auto" w:fill="FFFFFF"/>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Отже, досліджуване похідне адамантану в умовах ВМК сприяє при</w:t>
      </w:r>
      <w:r>
        <w:rPr>
          <w:rFonts w:ascii="Times New Roman" w:hAnsi="Times New Roman"/>
          <w:sz w:val="28"/>
          <w:szCs w:val="28"/>
          <w:lang w:val="uk-UA"/>
        </w:rPr>
        <w:t>гніченню  процесів нейроцитолізу, та</w:t>
      </w:r>
      <w:r w:rsidRPr="001F0A71">
        <w:rPr>
          <w:rFonts w:ascii="Times New Roman" w:hAnsi="Times New Roman"/>
          <w:sz w:val="28"/>
          <w:szCs w:val="28"/>
          <w:lang w:val="uk-UA"/>
        </w:rPr>
        <w:t xml:space="preserve"> явищ нейроапоптозу, що може бути одним із механізмів церебропротекторної дії. </w:t>
      </w:r>
    </w:p>
    <w:p w:rsidR="001F0A71" w:rsidRPr="00FD6349" w:rsidRDefault="001F0A71" w:rsidP="001F0A71">
      <w:pPr>
        <w:widowControl w:val="0"/>
        <w:spacing w:after="0" w:line="360" w:lineRule="auto"/>
        <w:ind w:firstLine="284"/>
        <w:jc w:val="both"/>
        <w:rPr>
          <w:rFonts w:ascii="Times New Roman" w:hAnsi="Times New Roman"/>
          <w:sz w:val="28"/>
          <w:szCs w:val="28"/>
          <w:lang w:val="uk-UA"/>
        </w:rPr>
      </w:pPr>
    </w:p>
    <w:p w:rsidR="001F0A71" w:rsidRPr="00FD6349" w:rsidRDefault="001F0A71" w:rsidP="001F0A71">
      <w:pPr>
        <w:widowControl w:val="0"/>
        <w:spacing w:after="0" w:line="360" w:lineRule="auto"/>
        <w:ind w:firstLine="284"/>
        <w:jc w:val="center"/>
        <w:rPr>
          <w:rFonts w:ascii="Times New Roman" w:hAnsi="Times New Roman"/>
          <w:b/>
          <w:spacing w:val="-6"/>
          <w:sz w:val="28"/>
          <w:szCs w:val="28"/>
          <w:lang w:val="uk-UA"/>
        </w:rPr>
      </w:pPr>
      <w:r w:rsidRPr="00FD6349">
        <w:rPr>
          <w:rFonts w:ascii="Times New Roman" w:hAnsi="Times New Roman"/>
          <w:b/>
          <w:noProof/>
          <w:sz w:val="28"/>
          <w:szCs w:val="28"/>
        </w:rPr>
        <w:drawing>
          <wp:inline distT="0" distB="0" distL="0" distR="0">
            <wp:extent cx="4310476" cy="3135085"/>
            <wp:effectExtent l="0" t="0" r="0" b="8255"/>
            <wp:docPr id="9" name="Рисунок 9" descr="F:\Алексей Анатолиевич\Изображение 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F:\Алексей Анатолиевич\Изображение 002.jpg"/>
                    <pic:cNvPicPr>
                      <a:picLocks noChangeArrowheads="1"/>
                    </pic:cNvPicPr>
                  </pic:nvPicPr>
                  <pic:blipFill>
                    <a:blip r:embed="rId33" cstate="email">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341799" cy="3157867"/>
                    </a:xfrm>
                    <a:prstGeom prst="rect">
                      <a:avLst/>
                    </a:prstGeom>
                    <a:noFill/>
                    <a:ln>
                      <a:noFill/>
                    </a:ln>
                  </pic:spPr>
                </pic:pic>
              </a:graphicData>
            </a:graphic>
          </wp:inline>
        </w:drawing>
      </w:r>
    </w:p>
    <w:p w:rsidR="001F0A71" w:rsidRPr="00FD6349" w:rsidRDefault="001F0A71" w:rsidP="00BB6F54">
      <w:pPr>
        <w:widowControl w:val="0"/>
        <w:tabs>
          <w:tab w:val="left" w:pos="284"/>
        </w:tabs>
        <w:spacing w:after="0" w:line="240" w:lineRule="auto"/>
        <w:ind w:firstLine="426"/>
        <w:jc w:val="both"/>
        <w:rPr>
          <w:rFonts w:ascii="Times New Roman" w:hAnsi="Times New Roman"/>
          <w:sz w:val="28"/>
          <w:szCs w:val="28"/>
          <w:lang w:val="uk-UA"/>
        </w:rPr>
      </w:pPr>
      <w:r w:rsidRPr="00FD6349">
        <w:rPr>
          <w:rFonts w:ascii="Times New Roman" w:hAnsi="Times New Roman"/>
          <w:sz w:val="28"/>
          <w:szCs w:val="28"/>
          <w:lang w:val="uk-UA"/>
        </w:rPr>
        <w:t>Рис. 5.4 Приклад ДНК-гістограми клітин кори головного мозку щура із ВМК через 96 год терапії німодипіном (30 мкг⁄кг). Кількість подій 10000. SUB-G0G1 – фрагментація ДНК 11,44%</w:t>
      </w:r>
    </w:p>
    <w:p w:rsidR="00473231" w:rsidRDefault="00473231" w:rsidP="00B065B6">
      <w:pPr>
        <w:widowControl w:val="0"/>
        <w:shd w:val="clear" w:color="auto" w:fill="FFFFFF"/>
        <w:spacing w:after="0" w:line="360" w:lineRule="auto"/>
        <w:ind w:firstLine="284"/>
        <w:jc w:val="both"/>
        <w:rPr>
          <w:rFonts w:ascii="Times New Roman" w:hAnsi="Times New Roman"/>
          <w:sz w:val="28"/>
          <w:szCs w:val="28"/>
          <w:lang w:val="uk-UA"/>
        </w:rPr>
      </w:pPr>
    </w:p>
    <w:p w:rsidR="001F0A71" w:rsidRPr="00986762" w:rsidRDefault="001F0A71" w:rsidP="00B065B6">
      <w:pPr>
        <w:pStyle w:val="2"/>
        <w:spacing w:line="360" w:lineRule="auto"/>
        <w:ind w:firstLine="284"/>
        <w:jc w:val="both"/>
        <w:rPr>
          <w:rFonts w:ascii="Times New Roman" w:hAnsi="Times New Roman" w:cs="Times New Roman"/>
          <w:color w:val="auto"/>
          <w:sz w:val="28"/>
          <w:szCs w:val="28"/>
          <w:lang w:val="uk-UA"/>
        </w:rPr>
      </w:pPr>
      <w:r w:rsidRPr="00986762">
        <w:rPr>
          <w:rFonts w:ascii="Times New Roman" w:hAnsi="Times New Roman" w:cs="Times New Roman"/>
          <w:color w:val="auto"/>
          <w:sz w:val="28"/>
          <w:szCs w:val="28"/>
          <w:lang w:val="uk-UA"/>
        </w:rPr>
        <w:lastRenderedPageBreak/>
        <w:t>5.3 Дія адемолу та референс-препаратів на активність нейропроліферативних процесів у головному мозку щурів із внутрішньомозковим крововиливом за рівнем білка S100 та даними протоково-цитометричного аналізу</w:t>
      </w:r>
    </w:p>
    <w:p w:rsidR="001F0A71" w:rsidRDefault="001F0A71" w:rsidP="00B065B6">
      <w:pPr>
        <w:widowControl w:val="0"/>
        <w:spacing w:after="0" w:line="360" w:lineRule="auto"/>
        <w:ind w:firstLine="284"/>
        <w:jc w:val="both"/>
        <w:rPr>
          <w:rFonts w:ascii="Times New Roman" w:hAnsi="Times New Roman"/>
          <w:sz w:val="28"/>
          <w:szCs w:val="28"/>
          <w:lang w:val="uk-UA"/>
        </w:rPr>
      </w:pPr>
      <w:r w:rsidRPr="001F0A71">
        <w:rPr>
          <w:rFonts w:ascii="Times New Roman" w:hAnsi="Times New Roman"/>
          <w:sz w:val="28"/>
          <w:szCs w:val="28"/>
          <w:lang w:val="uk-UA"/>
        </w:rPr>
        <w:t>Проведене дослідження показало, що у</w:t>
      </w:r>
      <w:r w:rsidRPr="00FD6349">
        <w:rPr>
          <w:rFonts w:ascii="Times New Roman" w:hAnsi="Times New Roman"/>
          <w:sz w:val="28"/>
          <w:szCs w:val="28"/>
          <w:lang w:val="uk-UA"/>
        </w:rPr>
        <w:t>щурів групи контрольної патології із ВМК середнього ступеня важкості, поряд із високою енолазною активністю, в сироватці крові виявлені високі рівні S100, котрі достеменно перевершували такі рівні у псевдооперованих тва</w:t>
      </w:r>
      <w:r>
        <w:rPr>
          <w:rFonts w:ascii="Times New Roman" w:hAnsi="Times New Roman"/>
          <w:sz w:val="28"/>
          <w:szCs w:val="28"/>
          <w:lang w:val="uk-UA"/>
        </w:rPr>
        <w:t>рин в середньому у 42,2</w:t>
      </w:r>
      <w:r w:rsidRPr="00FD6349">
        <w:rPr>
          <w:rFonts w:ascii="Times New Roman" w:hAnsi="Times New Roman"/>
          <w:sz w:val="28"/>
          <w:szCs w:val="28"/>
          <w:lang w:val="uk-UA"/>
        </w:rPr>
        <w:t xml:space="preserve"> рази, і маніфестує тим самим нейропроліферацію, чому передував масивний нейроцитоліз (табл. 5.4). </w:t>
      </w:r>
    </w:p>
    <w:p w:rsidR="001F0A71" w:rsidRPr="00FD6349" w:rsidRDefault="001F0A71" w:rsidP="001F0A71">
      <w:pPr>
        <w:widowControl w:val="0"/>
        <w:spacing w:after="0" w:line="360" w:lineRule="auto"/>
        <w:ind w:firstLine="284"/>
        <w:jc w:val="right"/>
        <w:rPr>
          <w:rFonts w:ascii="Times New Roman" w:hAnsi="Times New Roman"/>
          <w:sz w:val="28"/>
          <w:szCs w:val="28"/>
          <w:lang w:val="uk-UA"/>
        </w:rPr>
      </w:pPr>
      <w:r w:rsidRPr="00FD6349">
        <w:rPr>
          <w:rFonts w:ascii="Times New Roman" w:hAnsi="Times New Roman"/>
          <w:sz w:val="28"/>
          <w:szCs w:val="28"/>
          <w:lang w:val="uk-UA"/>
        </w:rPr>
        <w:t>Таблиця 5.4</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FD6349">
        <w:rPr>
          <w:rFonts w:ascii="Times New Roman" w:hAnsi="Times New Roman"/>
          <w:sz w:val="28"/>
          <w:szCs w:val="28"/>
          <w:lang w:val="uk-UA"/>
        </w:rPr>
        <w:t xml:space="preserve">Вплив адемолута референс-препаратів нарівень білка S100 у сироватці крові </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FD6349">
        <w:rPr>
          <w:rFonts w:ascii="Times New Roman" w:hAnsi="Times New Roman"/>
          <w:sz w:val="28"/>
          <w:szCs w:val="28"/>
          <w:lang w:val="uk-UA"/>
        </w:rPr>
        <w:t xml:space="preserve">зі стегнової вени щурів із внутрішньомозковим крововиливом </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FD6349">
        <w:rPr>
          <w:rFonts w:ascii="Times New Roman" w:hAnsi="Times New Roman"/>
          <w:sz w:val="28"/>
          <w:szCs w:val="28"/>
          <w:lang w:val="uk-UA"/>
        </w:rPr>
        <w:t>у гострий період інсульту (96 год експерименту – 4-та доба)</w:t>
      </w:r>
      <w:r>
        <w:rPr>
          <w:rFonts w:ascii="Times New Roman" w:hAnsi="Times New Roman"/>
          <w:sz w:val="28"/>
          <w:szCs w:val="28"/>
          <w:lang w:val="uk-UA"/>
        </w:rPr>
        <w:t>,</w:t>
      </w:r>
      <w:r w:rsidRPr="00FD6349">
        <w:rPr>
          <w:rFonts w:ascii="Times New Roman" w:hAnsi="Times New Roman"/>
          <w:sz w:val="28"/>
          <w:szCs w:val="28"/>
          <w:lang w:val="uk-UA"/>
        </w:rPr>
        <w:t>M±m</w:t>
      </w:r>
    </w:p>
    <w:p w:rsidR="0036311A" w:rsidRDefault="0036311A" w:rsidP="001F0A71">
      <w:pPr>
        <w:widowControl w:val="0"/>
        <w:spacing w:after="0" w:line="360" w:lineRule="auto"/>
        <w:ind w:firstLine="284"/>
        <w:jc w:val="center"/>
        <w:rPr>
          <w:rFonts w:ascii="Times New Roman" w:hAnsi="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08"/>
        <w:gridCol w:w="2410"/>
      </w:tblGrid>
      <w:tr w:rsidR="001F0A71" w:rsidRPr="00FD6349" w:rsidTr="00F4128A">
        <w:trPr>
          <w:trHeight w:val="469"/>
          <w:jc w:val="center"/>
        </w:trPr>
        <w:tc>
          <w:tcPr>
            <w:tcW w:w="7508"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Групи тварин</w:t>
            </w:r>
          </w:p>
        </w:tc>
        <w:tc>
          <w:tcPr>
            <w:tcW w:w="2410"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Рівень білка S100, нг/мл</w:t>
            </w:r>
          </w:p>
        </w:tc>
      </w:tr>
      <w:tr w:rsidR="001F0A71" w:rsidRPr="00FD6349" w:rsidTr="00F4128A">
        <w:trPr>
          <w:jc w:val="center"/>
        </w:trPr>
        <w:tc>
          <w:tcPr>
            <w:tcW w:w="7508" w:type="dxa"/>
            <w:vAlign w:val="center"/>
          </w:tcPr>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Псевдооперовані тварини + 0,9% NаСІ, 2 мл/кг</w:t>
            </w:r>
            <w:r w:rsidRPr="0059239E">
              <w:rPr>
                <w:rFonts w:ascii="Times New Roman" w:hAnsi="Times New Roman"/>
                <w:sz w:val="28"/>
                <w:szCs w:val="28"/>
                <w:lang w:val="uk-UA"/>
              </w:rPr>
              <w:t>(n=7)</w:t>
            </w:r>
          </w:p>
        </w:tc>
        <w:tc>
          <w:tcPr>
            <w:tcW w:w="2410"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0,239±0,016</w:t>
            </w:r>
          </w:p>
        </w:tc>
      </w:tr>
      <w:tr w:rsidR="001F0A71" w:rsidRPr="00FD6349" w:rsidTr="00F4128A">
        <w:trPr>
          <w:jc w:val="center"/>
        </w:trPr>
        <w:tc>
          <w:tcPr>
            <w:tcW w:w="7508" w:type="dxa"/>
            <w:vAlign w:val="center"/>
          </w:tcPr>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ВМК + 0,9% NаСІ, 2 мл/кг(група контрольної патології)</w:t>
            </w:r>
            <w:r w:rsidRPr="0059239E">
              <w:rPr>
                <w:rFonts w:ascii="Times New Roman" w:hAnsi="Times New Roman"/>
                <w:sz w:val="28"/>
                <w:szCs w:val="28"/>
                <w:lang w:val="uk-UA"/>
              </w:rPr>
              <w:t>(n=7)</w:t>
            </w:r>
          </w:p>
        </w:tc>
        <w:tc>
          <w:tcPr>
            <w:tcW w:w="2410"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10,091±0,185 º</w:t>
            </w:r>
          </w:p>
        </w:tc>
      </w:tr>
      <w:tr w:rsidR="001F0A71" w:rsidRPr="00FD6349" w:rsidTr="00F4128A">
        <w:trPr>
          <w:jc w:val="center"/>
        </w:trPr>
        <w:tc>
          <w:tcPr>
            <w:tcW w:w="7508" w:type="dxa"/>
            <w:vAlign w:val="center"/>
          </w:tcPr>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ВМК</w:t>
            </w:r>
            <w:r w:rsidRPr="00FD6349">
              <w:rPr>
                <w:rFonts w:ascii="Times New Roman" w:hAnsi="Times New Roman"/>
                <w:b/>
                <w:sz w:val="28"/>
                <w:szCs w:val="28"/>
                <w:lang w:val="uk-UA"/>
              </w:rPr>
              <w:t xml:space="preserve"> + </w:t>
            </w:r>
            <w:r w:rsidRPr="00FD6349">
              <w:rPr>
                <w:rFonts w:ascii="Times New Roman" w:hAnsi="Times New Roman"/>
                <w:sz w:val="28"/>
                <w:szCs w:val="28"/>
                <w:lang w:val="uk-UA"/>
              </w:rPr>
              <w:t>адемол, 2 мг⁄кг</w:t>
            </w:r>
            <w:r w:rsidRPr="0059239E">
              <w:rPr>
                <w:rFonts w:ascii="Times New Roman" w:hAnsi="Times New Roman"/>
                <w:sz w:val="28"/>
                <w:szCs w:val="28"/>
                <w:lang w:val="uk-UA"/>
              </w:rPr>
              <w:t>(n=7)</w:t>
            </w:r>
          </w:p>
        </w:tc>
        <w:tc>
          <w:tcPr>
            <w:tcW w:w="2410" w:type="dxa"/>
            <w:vAlign w:val="center"/>
          </w:tcPr>
          <w:p w:rsidR="001F0A71" w:rsidRPr="00FD6349" w:rsidRDefault="001F0A71" w:rsidP="00473231">
            <w:pPr>
              <w:widowControl w:val="0"/>
              <w:spacing w:before="60" w:after="60" w:line="240" w:lineRule="auto"/>
              <w:ind w:left="-209"/>
              <w:jc w:val="center"/>
              <w:rPr>
                <w:rFonts w:ascii="Times New Roman" w:hAnsi="Times New Roman"/>
                <w:sz w:val="28"/>
                <w:szCs w:val="28"/>
                <w:lang w:val="uk-UA"/>
              </w:rPr>
            </w:pPr>
            <w:r w:rsidRPr="00FD6349">
              <w:rPr>
                <w:rFonts w:ascii="Times New Roman" w:hAnsi="Times New Roman"/>
                <w:sz w:val="28"/>
                <w:szCs w:val="28"/>
                <w:lang w:val="uk-UA"/>
              </w:rPr>
              <w:t>3,516±0,081 º*</w:t>
            </w:r>
            <w:r w:rsidRPr="00FD6349">
              <w:rPr>
                <w:rFonts w:ascii="Times New Roman" w:hAnsi="Times New Roman"/>
                <w:sz w:val="28"/>
                <w:szCs w:val="28"/>
                <w:vertAlign w:val="superscript"/>
                <w:lang w:val="uk-UA"/>
              </w:rPr>
              <w:t>#&amp;</w:t>
            </w:r>
            <w:r w:rsidRPr="00FD6349">
              <w:rPr>
                <w:rFonts w:ascii="Times New Roman" w:hAnsi="Times New Roman"/>
                <w:sz w:val="32"/>
                <w:szCs w:val="32"/>
                <w:vertAlign w:val="superscript"/>
                <w:lang w:val="uk-UA"/>
              </w:rPr>
              <w:t>α</w:t>
            </w:r>
          </w:p>
        </w:tc>
      </w:tr>
      <w:tr w:rsidR="001F0A71" w:rsidRPr="00FD6349" w:rsidTr="00F4128A">
        <w:trPr>
          <w:jc w:val="center"/>
        </w:trPr>
        <w:tc>
          <w:tcPr>
            <w:tcW w:w="7508" w:type="dxa"/>
            <w:vAlign w:val="center"/>
          </w:tcPr>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ВМК + німодипін,30 мкг⁄кг</w:t>
            </w:r>
            <w:r w:rsidRPr="0059239E">
              <w:rPr>
                <w:rFonts w:ascii="Times New Roman" w:hAnsi="Times New Roman"/>
                <w:sz w:val="28"/>
                <w:szCs w:val="28"/>
                <w:lang w:val="uk-UA"/>
              </w:rPr>
              <w:t>(n=7)</w:t>
            </w:r>
          </w:p>
        </w:tc>
        <w:tc>
          <w:tcPr>
            <w:tcW w:w="2410"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4,757±0,20 º*</w:t>
            </w:r>
            <w:r w:rsidRPr="00FD6349">
              <w:rPr>
                <w:rFonts w:ascii="Times New Roman" w:hAnsi="Times New Roman"/>
                <w:sz w:val="28"/>
                <w:szCs w:val="28"/>
                <w:vertAlign w:val="superscript"/>
                <w:lang w:val="uk-UA"/>
              </w:rPr>
              <w:t>#&amp;</w:t>
            </w:r>
          </w:p>
        </w:tc>
      </w:tr>
      <w:tr w:rsidR="001F0A71" w:rsidRPr="00FD6349" w:rsidTr="00F4128A">
        <w:trPr>
          <w:jc w:val="center"/>
        </w:trPr>
        <w:tc>
          <w:tcPr>
            <w:tcW w:w="7508" w:type="dxa"/>
            <w:vAlign w:val="center"/>
          </w:tcPr>
          <w:p w:rsidR="001F0A71" w:rsidRPr="00FD6349" w:rsidRDefault="001F0A71" w:rsidP="00473231">
            <w:pPr>
              <w:widowControl w:val="0"/>
              <w:spacing w:before="60" w:after="60" w:line="240" w:lineRule="auto"/>
              <w:rPr>
                <w:rFonts w:ascii="Times New Roman" w:hAnsi="Times New Roman"/>
                <w:sz w:val="28"/>
                <w:szCs w:val="28"/>
                <w:lang w:val="uk-UA"/>
              </w:rPr>
            </w:pPr>
            <w:r w:rsidRPr="00FD6349">
              <w:rPr>
                <w:rFonts w:ascii="Times New Roman" w:hAnsi="Times New Roman"/>
                <w:sz w:val="28"/>
                <w:szCs w:val="28"/>
                <w:lang w:val="uk-UA"/>
              </w:rPr>
              <w:t>ВМК + амантадину сульфат, 10 мг⁄кг</w:t>
            </w:r>
            <w:r w:rsidRPr="0059239E">
              <w:rPr>
                <w:rFonts w:ascii="Times New Roman" w:hAnsi="Times New Roman"/>
                <w:sz w:val="28"/>
                <w:szCs w:val="28"/>
                <w:lang w:val="uk-UA"/>
              </w:rPr>
              <w:t>(n=7)</w:t>
            </w:r>
          </w:p>
        </w:tc>
        <w:tc>
          <w:tcPr>
            <w:tcW w:w="2410"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5,763±0,158 º*</w:t>
            </w:r>
            <w:r w:rsidRPr="00FD6349">
              <w:rPr>
                <w:rFonts w:ascii="Times New Roman" w:hAnsi="Times New Roman"/>
                <w:sz w:val="28"/>
                <w:szCs w:val="28"/>
                <w:vertAlign w:val="superscript"/>
                <w:lang w:val="uk-UA"/>
              </w:rPr>
              <w:t>#</w:t>
            </w:r>
          </w:p>
        </w:tc>
      </w:tr>
      <w:tr w:rsidR="001F0A71" w:rsidRPr="00FD6349" w:rsidTr="00F4128A">
        <w:trPr>
          <w:jc w:val="center"/>
        </w:trPr>
        <w:tc>
          <w:tcPr>
            <w:tcW w:w="7508" w:type="dxa"/>
            <w:vAlign w:val="center"/>
          </w:tcPr>
          <w:p w:rsidR="001F0A71" w:rsidRPr="00FD6349" w:rsidRDefault="001F0A71" w:rsidP="00473231">
            <w:pPr>
              <w:widowControl w:val="0"/>
              <w:spacing w:before="60" w:after="60" w:line="240" w:lineRule="auto"/>
              <w:rPr>
                <w:rFonts w:ascii="Times New Roman" w:hAnsi="Times New Roman"/>
                <w:sz w:val="28"/>
                <w:szCs w:val="28"/>
                <w:lang w:val="uk-UA"/>
              </w:rPr>
            </w:pPr>
            <w:r w:rsidRPr="00FD6349">
              <w:rPr>
                <w:rFonts w:ascii="Times New Roman" w:hAnsi="Times New Roman"/>
                <w:sz w:val="28"/>
                <w:szCs w:val="28"/>
                <w:lang w:val="uk-UA"/>
              </w:rPr>
              <w:t>ВМК + магнію сульфат, 250 мг⁄кг</w:t>
            </w:r>
            <w:r w:rsidRPr="0059239E">
              <w:rPr>
                <w:rFonts w:ascii="Times New Roman" w:hAnsi="Times New Roman"/>
                <w:sz w:val="28"/>
                <w:szCs w:val="28"/>
                <w:lang w:val="uk-UA"/>
              </w:rPr>
              <w:t>(n=7)</w:t>
            </w:r>
          </w:p>
        </w:tc>
        <w:tc>
          <w:tcPr>
            <w:tcW w:w="2410" w:type="dxa"/>
            <w:vAlign w:val="center"/>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8,08±0,154 º*</w:t>
            </w:r>
          </w:p>
        </w:tc>
      </w:tr>
    </w:tbl>
    <w:p w:rsidR="001F0A71" w:rsidRPr="0036311A" w:rsidRDefault="001F0A71" w:rsidP="0069152C">
      <w:pPr>
        <w:widowControl w:val="0"/>
        <w:tabs>
          <w:tab w:val="left" w:pos="1080"/>
        </w:tabs>
        <w:spacing w:after="0" w:line="240" w:lineRule="auto"/>
        <w:ind w:firstLine="284"/>
        <w:jc w:val="both"/>
        <w:rPr>
          <w:rFonts w:ascii="Times New Roman" w:hAnsi="Times New Roman"/>
          <w:sz w:val="28"/>
          <w:szCs w:val="28"/>
          <w:lang w:val="uk-UA"/>
        </w:rPr>
      </w:pPr>
    </w:p>
    <w:p w:rsidR="001F0A71" w:rsidRPr="00FD6349" w:rsidRDefault="001F0A71" w:rsidP="0069152C">
      <w:pPr>
        <w:widowControl w:val="0"/>
        <w:tabs>
          <w:tab w:val="left" w:pos="1080"/>
        </w:tabs>
        <w:spacing w:after="0" w:line="24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Примітки: </w:t>
      </w:r>
    </w:p>
    <w:p w:rsidR="001F0A71" w:rsidRPr="00FD6349" w:rsidRDefault="001F0A71" w:rsidP="00473231">
      <w:pPr>
        <w:widowControl w:val="0"/>
        <w:numPr>
          <w:ilvl w:val="0"/>
          <w:numId w:val="22"/>
        </w:numPr>
        <w:tabs>
          <w:tab w:val="left" w:pos="993"/>
          <w:tab w:val="left" w:pos="1701"/>
        </w:tabs>
        <w:spacing w:after="0" w:line="360" w:lineRule="auto"/>
        <w:ind w:left="709" w:firstLine="0"/>
        <w:jc w:val="both"/>
        <w:rPr>
          <w:rFonts w:ascii="Times New Roman" w:hAnsi="Times New Roman"/>
          <w:sz w:val="28"/>
          <w:szCs w:val="28"/>
          <w:lang w:val="uk-UA"/>
        </w:rPr>
      </w:pPr>
      <w:r w:rsidRPr="00FD6349">
        <w:rPr>
          <w:rFonts w:ascii="Times New Roman" w:hAnsi="Times New Roman"/>
          <w:sz w:val="28"/>
          <w:szCs w:val="28"/>
          <w:lang w:val="uk-UA"/>
        </w:rPr>
        <w:t>º – р&lt;0,05 відносно псевдооперованих тварин;</w:t>
      </w:r>
    </w:p>
    <w:p w:rsidR="001F0A71" w:rsidRPr="003A136D" w:rsidRDefault="001F0A71" w:rsidP="00473231">
      <w:pPr>
        <w:pStyle w:val="a5"/>
        <w:widowControl w:val="0"/>
        <w:numPr>
          <w:ilvl w:val="0"/>
          <w:numId w:val="22"/>
        </w:numPr>
        <w:tabs>
          <w:tab w:val="left" w:pos="993"/>
        </w:tabs>
        <w:spacing w:after="0" w:line="360" w:lineRule="auto"/>
        <w:ind w:left="709" w:firstLine="0"/>
        <w:jc w:val="both"/>
        <w:rPr>
          <w:rFonts w:ascii="Times New Roman" w:hAnsi="Times New Roman"/>
          <w:sz w:val="28"/>
          <w:szCs w:val="28"/>
          <w:lang w:val="uk-UA"/>
        </w:rPr>
      </w:pPr>
      <w:r w:rsidRPr="003A136D">
        <w:rPr>
          <w:rFonts w:ascii="Times New Roman" w:hAnsi="Times New Roman"/>
          <w:sz w:val="28"/>
          <w:szCs w:val="28"/>
          <w:lang w:val="uk-UA"/>
        </w:rPr>
        <w:t>* – р&lt;0,05 відносно контрольної патології;</w:t>
      </w:r>
    </w:p>
    <w:p w:rsidR="001F0A71" w:rsidRPr="003A136D" w:rsidRDefault="001F0A71" w:rsidP="00473231">
      <w:pPr>
        <w:pStyle w:val="a5"/>
        <w:widowControl w:val="0"/>
        <w:numPr>
          <w:ilvl w:val="0"/>
          <w:numId w:val="22"/>
        </w:numPr>
        <w:tabs>
          <w:tab w:val="left" w:pos="993"/>
        </w:tabs>
        <w:spacing w:after="0" w:line="360" w:lineRule="auto"/>
        <w:ind w:left="709" w:firstLine="0"/>
        <w:rPr>
          <w:rFonts w:ascii="Times New Roman" w:hAnsi="Times New Roman"/>
          <w:sz w:val="28"/>
          <w:szCs w:val="28"/>
          <w:lang w:val="uk-UA"/>
        </w:rPr>
      </w:pPr>
      <w:r w:rsidRPr="003A136D">
        <w:rPr>
          <w:rFonts w:ascii="Times New Roman" w:hAnsi="Times New Roman"/>
          <w:sz w:val="28"/>
          <w:szCs w:val="28"/>
          <w:vertAlign w:val="superscript"/>
          <w:lang w:val="uk-UA"/>
        </w:rPr>
        <w:t xml:space="preserve"># </w:t>
      </w:r>
      <w:r w:rsidRPr="003A136D">
        <w:rPr>
          <w:rFonts w:ascii="Times New Roman" w:hAnsi="Times New Roman"/>
          <w:sz w:val="28"/>
          <w:szCs w:val="28"/>
          <w:lang w:val="uk-UA"/>
        </w:rPr>
        <w:t>– р&lt;0,05 відносно магнію сульфату (250 мг/кг);</w:t>
      </w:r>
    </w:p>
    <w:p w:rsidR="001F0A71" w:rsidRPr="003A136D" w:rsidRDefault="001F0A71" w:rsidP="00473231">
      <w:pPr>
        <w:pStyle w:val="a5"/>
        <w:widowControl w:val="0"/>
        <w:numPr>
          <w:ilvl w:val="0"/>
          <w:numId w:val="22"/>
        </w:numPr>
        <w:tabs>
          <w:tab w:val="left" w:pos="993"/>
        </w:tabs>
        <w:spacing w:after="0" w:line="360" w:lineRule="auto"/>
        <w:ind w:left="709" w:firstLine="0"/>
        <w:jc w:val="both"/>
        <w:rPr>
          <w:rFonts w:ascii="Times New Roman" w:hAnsi="Times New Roman"/>
          <w:sz w:val="28"/>
          <w:szCs w:val="28"/>
          <w:lang w:val="uk-UA"/>
        </w:rPr>
      </w:pPr>
      <w:r w:rsidRPr="003A136D">
        <w:rPr>
          <w:rFonts w:ascii="Times New Roman" w:hAnsi="Times New Roman"/>
          <w:sz w:val="28"/>
          <w:szCs w:val="28"/>
          <w:vertAlign w:val="superscript"/>
          <w:lang w:val="uk-UA"/>
        </w:rPr>
        <w:t>&amp;</w:t>
      </w:r>
      <w:r w:rsidRPr="003A136D">
        <w:rPr>
          <w:rFonts w:ascii="Times New Roman" w:hAnsi="Times New Roman"/>
          <w:sz w:val="28"/>
          <w:szCs w:val="28"/>
          <w:lang w:val="uk-UA"/>
        </w:rPr>
        <w:t>– р&lt;0,05 відносно амантадину сульфату (10 мг/кг);</w:t>
      </w:r>
    </w:p>
    <w:p w:rsidR="001F0A71" w:rsidRPr="00FD6349" w:rsidRDefault="001F0A71" w:rsidP="00473231">
      <w:pPr>
        <w:pStyle w:val="a5"/>
        <w:widowControl w:val="0"/>
        <w:numPr>
          <w:ilvl w:val="0"/>
          <w:numId w:val="22"/>
        </w:numPr>
        <w:tabs>
          <w:tab w:val="left" w:pos="993"/>
          <w:tab w:val="left" w:pos="1843"/>
        </w:tabs>
        <w:spacing w:after="0" w:line="360" w:lineRule="auto"/>
        <w:ind w:left="709" w:firstLine="0"/>
        <w:rPr>
          <w:rFonts w:ascii="Times New Roman" w:hAnsi="Times New Roman"/>
          <w:sz w:val="28"/>
          <w:szCs w:val="28"/>
          <w:lang w:val="uk-UA"/>
        </w:rPr>
      </w:pPr>
      <w:r w:rsidRPr="00FD6349">
        <w:rPr>
          <w:rFonts w:ascii="Times New Roman" w:hAnsi="Times New Roman"/>
          <w:sz w:val="28"/>
          <w:szCs w:val="28"/>
          <w:lang w:val="uk-UA"/>
        </w:rPr>
        <w:t xml:space="preserve">α – р&lt;0,05 </w:t>
      </w:r>
      <w:r w:rsidRPr="00FD6349">
        <w:rPr>
          <w:rFonts w:ascii="Times New Roman" w:hAnsi="Times New Roman"/>
          <w:sz w:val="28"/>
          <w:lang w:val="uk-UA"/>
        </w:rPr>
        <w:t xml:space="preserve">відносно </w:t>
      </w:r>
      <w:r w:rsidRPr="00FD6349">
        <w:rPr>
          <w:rFonts w:ascii="Times New Roman" w:hAnsi="Times New Roman"/>
          <w:sz w:val="28"/>
          <w:szCs w:val="28"/>
          <w:lang w:val="uk-UA"/>
        </w:rPr>
        <w:t>німодипіну.</w:t>
      </w:r>
    </w:p>
    <w:p w:rsidR="00473231" w:rsidRPr="00BB6F54" w:rsidRDefault="00473231" w:rsidP="0069152C">
      <w:pPr>
        <w:widowControl w:val="0"/>
        <w:tabs>
          <w:tab w:val="left" w:pos="1843"/>
        </w:tabs>
        <w:spacing w:after="0" w:line="360" w:lineRule="auto"/>
        <w:ind w:firstLine="284"/>
        <w:jc w:val="both"/>
        <w:rPr>
          <w:rFonts w:ascii="Times New Roman" w:hAnsi="Times New Roman"/>
          <w:sz w:val="16"/>
          <w:szCs w:val="16"/>
          <w:lang w:val="uk-UA"/>
        </w:rPr>
      </w:pPr>
    </w:p>
    <w:p w:rsidR="0036311A" w:rsidRDefault="0036311A" w:rsidP="0036311A">
      <w:pPr>
        <w:widowControl w:val="0"/>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На противагу цьому, терапія всіма використаними нейропротекторами гальмувало підвищення рівнів S100. За своєю спрямованістю, при наявній векторній тотожності, </w:t>
      </w:r>
      <w:r w:rsidRPr="00FD6349">
        <w:rPr>
          <w:rFonts w:ascii="Times New Roman" w:hAnsi="Times New Roman"/>
          <w:sz w:val="28"/>
          <w:szCs w:val="28"/>
          <w:lang w:val="uk-UA"/>
        </w:rPr>
        <w:lastRenderedPageBreak/>
        <w:t xml:space="preserve">вони мали між собою вірогідну відмінність по силі гальмування проліферації нейроглії. Найбільшу депримуючу дію на експресію верифікованого ензиму мав адемол. На тлі його інфузії сироватковий рівень S100 був меншим відносно контрольної патології в середньому у 2,87 рази, р&lt;0,05, вірогідно переважаючи ефективність німодипіну в 1,35, амантадину сульфату – в 1,64, а магнію сульфату відповідно у 2,3 рази (табл. 5.4). Таким чином, на основі отриманих даних стосовно змін рівнів S100 у сироватці крові зі стегнової вени щурів із </w:t>
      </w:r>
      <w:r>
        <w:rPr>
          <w:rFonts w:ascii="Times New Roman" w:hAnsi="Times New Roman"/>
          <w:sz w:val="28"/>
          <w:szCs w:val="28"/>
          <w:lang w:val="uk-UA"/>
        </w:rPr>
        <w:t>ВМК</w:t>
      </w:r>
      <w:r w:rsidRPr="00FD6349">
        <w:rPr>
          <w:rFonts w:ascii="Times New Roman" w:hAnsi="Times New Roman"/>
          <w:sz w:val="28"/>
          <w:szCs w:val="28"/>
          <w:lang w:val="uk-UA"/>
        </w:rPr>
        <w:t xml:space="preserve"> у гострий період інсульту (96 год експерименту – 4-та доба) можна побудувати наступний варіаційний ряд: псевдооперовані щури &gt;адемол&gt;німодипін&gt;амантадину сульфат &gt; магнію сульфат.</w:t>
      </w:r>
    </w:p>
    <w:p w:rsidR="001F0A71" w:rsidRPr="00FD6349" w:rsidRDefault="001F0A71" w:rsidP="0069152C">
      <w:pPr>
        <w:widowControl w:val="0"/>
        <w:tabs>
          <w:tab w:val="left" w:pos="1843"/>
        </w:tabs>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В такому ряді той препарат проявляє найбільший захисний вплив на головний мозок, через послаблення нейропроліферативних процесів, який знаходиться ближче до групи псевдооперованих тварин. Отже, адемолу, порівняно із рештою досліджуваних нейропротекторів притаманна найбільша нейроцитопротекторна активність, що доводиться не тільки зменшенням активності енолази, а й протидією до підвищення рівнів S100 проти групи контрольної патології.</w:t>
      </w:r>
    </w:p>
    <w:p w:rsidR="00BB6F54" w:rsidRDefault="001F0A71" w:rsidP="00BB6F54">
      <w:pPr>
        <w:widowControl w:val="0"/>
        <w:tabs>
          <w:tab w:val="left" w:pos="1276"/>
          <w:tab w:val="left" w:pos="1701"/>
        </w:tabs>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Протоково-цитометричний аналіз дає змогу додатково кількісно оцінити параметри формування ішемічного вогнища, котре з настанням відновного періоду представлене вже не деструктивно-зміненими нейронами, а нейрогліоцитами. При проведенні протоково-цитометричного аналізу, про підвищену активність останніх, свідчить поява ядер у фазі синтезу (фаза S клітинного циклу). У тварин групи контрольної патології кількість клітин в суспензії, отриманої із лобних часток кори головного</w:t>
      </w:r>
      <w:r w:rsidR="00170F94">
        <w:rPr>
          <w:rFonts w:ascii="Times New Roman" w:hAnsi="Times New Roman"/>
          <w:sz w:val="28"/>
          <w:szCs w:val="28"/>
          <w:lang w:val="uk-UA"/>
        </w:rPr>
        <w:t xml:space="preserve"> мозку</w:t>
      </w:r>
      <w:r w:rsidRPr="00FD6349">
        <w:rPr>
          <w:rFonts w:ascii="Times New Roman" w:hAnsi="Times New Roman"/>
          <w:sz w:val="28"/>
          <w:szCs w:val="28"/>
          <w:lang w:val="uk-UA"/>
        </w:rPr>
        <w:t xml:space="preserve">, ядерна ДНК котрих перебуває у стадії поділу вірогідно </w:t>
      </w:r>
      <w:r>
        <w:rPr>
          <w:rFonts w:ascii="Times New Roman" w:hAnsi="Times New Roman"/>
          <w:sz w:val="28"/>
          <w:szCs w:val="28"/>
          <w:lang w:val="uk-UA"/>
        </w:rPr>
        <w:t>підвищилась в середньому у 12,3</w:t>
      </w:r>
      <w:r w:rsidRPr="00FD6349">
        <w:rPr>
          <w:rFonts w:ascii="Times New Roman" w:hAnsi="Times New Roman"/>
          <w:sz w:val="28"/>
          <w:szCs w:val="28"/>
          <w:lang w:val="uk-UA"/>
        </w:rPr>
        <w:t xml:space="preserve"> рази (табл. 5.5) від аналогічних значень в групі псевдооперованих тварин. </w:t>
      </w:r>
    </w:p>
    <w:p w:rsidR="0036311A" w:rsidRPr="00BB6F54" w:rsidRDefault="0036311A" w:rsidP="0036311A">
      <w:pPr>
        <w:widowControl w:val="0"/>
        <w:tabs>
          <w:tab w:val="left" w:pos="1276"/>
          <w:tab w:val="left" w:pos="1701"/>
        </w:tabs>
        <w:spacing w:after="0" w:line="360" w:lineRule="auto"/>
        <w:ind w:firstLine="284"/>
        <w:jc w:val="both"/>
        <w:rPr>
          <w:rFonts w:ascii="Times New Roman" w:hAnsi="Times New Roman"/>
          <w:sz w:val="28"/>
          <w:szCs w:val="28"/>
          <w:lang w:val="uk-UA"/>
        </w:rPr>
      </w:pPr>
      <w:r w:rsidRPr="00BB6F54">
        <w:rPr>
          <w:rFonts w:ascii="Times New Roman" w:hAnsi="Times New Roman"/>
          <w:sz w:val="28"/>
          <w:szCs w:val="28"/>
          <w:lang w:val="uk-UA"/>
        </w:rPr>
        <w:t>У останніх, оперативне втручання, як встановлено, не призвело ні до підвищення енолазної активності чи зростання вмісту S100, ні до маніфестації нейроапоптозу.</w:t>
      </w:r>
    </w:p>
    <w:p w:rsidR="0036311A" w:rsidRPr="00BB6F54" w:rsidRDefault="0036311A" w:rsidP="0036311A">
      <w:pPr>
        <w:widowControl w:val="0"/>
        <w:shd w:val="clear" w:color="auto" w:fill="FFFFFF"/>
        <w:spacing w:after="0" w:line="360" w:lineRule="auto"/>
        <w:ind w:firstLine="284"/>
        <w:jc w:val="both"/>
        <w:rPr>
          <w:rFonts w:ascii="Times New Roman" w:hAnsi="Times New Roman"/>
          <w:sz w:val="28"/>
          <w:szCs w:val="28"/>
          <w:lang w:val="uk-UA"/>
        </w:rPr>
      </w:pPr>
      <w:r w:rsidRPr="00BB6F54">
        <w:rPr>
          <w:rFonts w:ascii="Times New Roman" w:hAnsi="Times New Roman"/>
          <w:sz w:val="28"/>
          <w:szCs w:val="28"/>
          <w:lang w:val="uk-UA"/>
        </w:rPr>
        <w:t xml:space="preserve">Одержані дані можуть вказувати на те, що процес формування вогнища ішемічної напівтіні (пенумбри) – заміни деструктивно-змінених нейронів у стадії нейроцитолізу на нейрогліальні елементи, вже наприкінці гострого періоду (4-та </w:t>
      </w:r>
      <w:r w:rsidRPr="00BB6F54">
        <w:rPr>
          <w:rFonts w:ascii="Times New Roman" w:hAnsi="Times New Roman"/>
          <w:sz w:val="28"/>
          <w:szCs w:val="28"/>
          <w:lang w:val="uk-UA"/>
        </w:rPr>
        <w:lastRenderedPageBreak/>
        <w:t>доба ВМК) відбувається активно.</w:t>
      </w:r>
    </w:p>
    <w:p w:rsidR="001F0A71" w:rsidRPr="00EF08E1" w:rsidRDefault="001F0A71" w:rsidP="00EF08E1">
      <w:pPr>
        <w:widowControl w:val="0"/>
        <w:shd w:val="clear" w:color="auto" w:fill="FFFFFF"/>
        <w:spacing w:after="0" w:line="360" w:lineRule="auto"/>
        <w:ind w:firstLine="284"/>
        <w:rPr>
          <w:rFonts w:ascii="Times New Roman" w:hAnsi="Times New Roman"/>
          <w:sz w:val="8"/>
          <w:szCs w:val="28"/>
          <w:lang w:val="uk-UA"/>
        </w:rPr>
      </w:pPr>
    </w:p>
    <w:p w:rsidR="001F0A71" w:rsidRDefault="001F0A71" w:rsidP="001F0A71">
      <w:pPr>
        <w:widowControl w:val="0"/>
        <w:spacing w:after="0" w:line="360" w:lineRule="auto"/>
        <w:ind w:right="-5" w:firstLine="284"/>
        <w:jc w:val="right"/>
        <w:rPr>
          <w:rFonts w:ascii="Times New Roman" w:hAnsi="Times New Roman"/>
          <w:sz w:val="28"/>
          <w:szCs w:val="28"/>
          <w:lang w:val="uk-UA"/>
        </w:rPr>
      </w:pPr>
      <w:r w:rsidRPr="00FD6349">
        <w:rPr>
          <w:rFonts w:ascii="Times New Roman" w:hAnsi="Times New Roman"/>
          <w:sz w:val="28"/>
          <w:szCs w:val="28"/>
          <w:lang w:val="uk-UA"/>
        </w:rPr>
        <w:t>Таблиця 5.5</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FD6349">
        <w:rPr>
          <w:rFonts w:ascii="Times New Roman" w:hAnsi="Times New Roman"/>
          <w:sz w:val="28"/>
          <w:szCs w:val="28"/>
          <w:lang w:val="uk-UA"/>
        </w:rPr>
        <w:t xml:space="preserve">Вплив адемолу та німодипіну на активацію фази синтезу ДНК </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FD6349">
        <w:rPr>
          <w:rFonts w:ascii="Times New Roman" w:hAnsi="Times New Roman"/>
          <w:sz w:val="28"/>
          <w:szCs w:val="28"/>
          <w:lang w:val="uk-UA"/>
        </w:rPr>
        <w:t>в ядрах клітин суспензії з лобних часток кори головного мозку щурів із ВМК через 96 год терапії</w:t>
      </w:r>
      <w:r>
        <w:rPr>
          <w:rFonts w:ascii="Times New Roman" w:hAnsi="Times New Roman"/>
          <w:sz w:val="28"/>
          <w:szCs w:val="28"/>
          <w:lang w:val="uk-UA"/>
        </w:rPr>
        <w:t>,</w:t>
      </w:r>
      <w:r w:rsidRPr="00FD6349">
        <w:rPr>
          <w:rFonts w:ascii="Times New Roman" w:hAnsi="Times New Roman"/>
          <w:sz w:val="28"/>
          <w:szCs w:val="28"/>
          <w:lang w:val="uk-UA"/>
        </w:rPr>
        <w:t>М±m</w:t>
      </w:r>
    </w:p>
    <w:p w:rsidR="0036311A" w:rsidRDefault="0036311A" w:rsidP="001F0A71">
      <w:pPr>
        <w:widowControl w:val="0"/>
        <w:spacing w:after="0" w:line="360" w:lineRule="auto"/>
        <w:ind w:firstLine="284"/>
        <w:jc w:val="center"/>
        <w:rPr>
          <w:rFonts w:ascii="Times New Roman" w:hAnsi="Times New Roman"/>
          <w:sz w:val="28"/>
          <w:szCs w:val="28"/>
          <w:lang w:val="uk-UA"/>
        </w:rPr>
      </w:pP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71"/>
        <w:gridCol w:w="1967"/>
      </w:tblGrid>
      <w:tr w:rsidR="001F0A71" w:rsidRPr="00FD6349" w:rsidTr="00BB6F54">
        <w:trPr>
          <w:jc w:val="center"/>
        </w:trPr>
        <w:tc>
          <w:tcPr>
            <w:tcW w:w="7671" w:type="dxa"/>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Умови досліду</w:t>
            </w:r>
          </w:p>
        </w:tc>
        <w:tc>
          <w:tcPr>
            <w:tcW w:w="1967" w:type="dxa"/>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Синтез ДНК (фаза S, %)</w:t>
            </w:r>
          </w:p>
        </w:tc>
      </w:tr>
      <w:tr w:rsidR="001F0A71" w:rsidRPr="00FD6349" w:rsidTr="00BB6F54">
        <w:trPr>
          <w:jc w:val="center"/>
        </w:trPr>
        <w:tc>
          <w:tcPr>
            <w:tcW w:w="7671" w:type="dxa"/>
          </w:tcPr>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Псевдооперовані тварини + 0,9% NаСІ, 2 мл/кг(n=8)</w:t>
            </w:r>
          </w:p>
        </w:tc>
        <w:tc>
          <w:tcPr>
            <w:tcW w:w="1967" w:type="dxa"/>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0,131±0,009</w:t>
            </w:r>
          </w:p>
        </w:tc>
      </w:tr>
      <w:tr w:rsidR="001F0A71" w:rsidRPr="00FD6349" w:rsidTr="00BB6F54">
        <w:trPr>
          <w:jc w:val="center"/>
        </w:trPr>
        <w:tc>
          <w:tcPr>
            <w:tcW w:w="7671" w:type="dxa"/>
          </w:tcPr>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ВМК+ 0,9% NаСІ, 2 мл/кг(група контрольної патології)(n=8)</w:t>
            </w:r>
          </w:p>
        </w:tc>
        <w:tc>
          <w:tcPr>
            <w:tcW w:w="1967" w:type="dxa"/>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1,610±0,048º</w:t>
            </w:r>
          </w:p>
        </w:tc>
      </w:tr>
      <w:tr w:rsidR="001F0A71" w:rsidRPr="00FD6349" w:rsidTr="00BB6F54">
        <w:trPr>
          <w:jc w:val="center"/>
        </w:trPr>
        <w:tc>
          <w:tcPr>
            <w:tcW w:w="7671" w:type="dxa"/>
          </w:tcPr>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ВМК</w:t>
            </w:r>
            <w:r w:rsidRPr="00FD6349">
              <w:rPr>
                <w:rFonts w:ascii="Times New Roman" w:hAnsi="Times New Roman"/>
                <w:b/>
                <w:sz w:val="28"/>
                <w:szCs w:val="28"/>
                <w:lang w:val="uk-UA"/>
              </w:rPr>
              <w:t xml:space="preserve">+ </w:t>
            </w:r>
            <w:r w:rsidRPr="00FD6349">
              <w:rPr>
                <w:rFonts w:ascii="Times New Roman" w:hAnsi="Times New Roman"/>
                <w:sz w:val="28"/>
                <w:szCs w:val="28"/>
                <w:lang w:val="uk-UA"/>
              </w:rPr>
              <w:t>адемол, 2 мг⁄кг(n=8)</w:t>
            </w:r>
          </w:p>
        </w:tc>
        <w:tc>
          <w:tcPr>
            <w:tcW w:w="1967" w:type="dxa"/>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0,538±0,025º*</w:t>
            </w:r>
            <w:r w:rsidRPr="00FD6349">
              <w:rPr>
                <w:rFonts w:ascii="Times New Roman" w:hAnsi="Times New Roman"/>
                <w:sz w:val="32"/>
                <w:szCs w:val="32"/>
                <w:vertAlign w:val="superscript"/>
                <w:lang w:val="uk-UA"/>
              </w:rPr>
              <w:t>α</w:t>
            </w:r>
          </w:p>
        </w:tc>
      </w:tr>
      <w:tr w:rsidR="001F0A71" w:rsidRPr="00FD6349" w:rsidTr="00BB6F54">
        <w:trPr>
          <w:jc w:val="center"/>
        </w:trPr>
        <w:tc>
          <w:tcPr>
            <w:tcW w:w="7671" w:type="dxa"/>
          </w:tcPr>
          <w:p w:rsidR="001F0A71" w:rsidRPr="00FD6349" w:rsidRDefault="001F0A71" w:rsidP="00473231">
            <w:pPr>
              <w:widowControl w:val="0"/>
              <w:spacing w:before="60" w:after="60" w:line="240" w:lineRule="auto"/>
              <w:rPr>
                <w:rFonts w:ascii="Times New Roman" w:hAnsi="Times New Roman"/>
                <w:b/>
                <w:sz w:val="28"/>
                <w:szCs w:val="28"/>
                <w:lang w:val="uk-UA"/>
              </w:rPr>
            </w:pPr>
            <w:r w:rsidRPr="00FD6349">
              <w:rPr>
                <w:rFonts w:ascii="Times New Roman" w:hAnsi="Times New Roman"/>
                <w:sz w:val="28"/>
                <w:szCs w:val="28"/>
                <w:lang w:val="uk-UA"/>
              </w:rPr>
              <w:t>ВМК+ німодипін,30 мкг⁄кг(n=8)</w:t>
            </w:r>
          </w:p>
        </w:tc>
        <w:tc>
          <w:tcPr>
            <w:tcW w:w="1967" w:type="dxa"/>
          </w:tcPr>
          <w:p w:rsidR="001F0A71" w:rsidRPr="00FD6349" w:rsidRDefault="001F0A71" w:rsidP="00473231">
            <w:pPr>
              <w:widowControl w:val="0"/>
              <w:spacing w:before="60" w:after="60" w:line="240" w:lineRule="auto"/>
              <w:jc w:val="center"/>
              <w:rPr>
                <w:rFonts w:ascii="Times New Roman" w:hAnsi="Times New Roman"/>
                <w:sz w:val="28"/>
                <w:szCs w:val="28"/>
                <w:lang w:val="uk-UA"/>
              </w:rPr>
            </w:pPr>
            <w:r w:rsidRPr="00FD6349">
              <w:rPr>
                <w:rFonts w:ascii="Times New Roman" w:hAnsi="Times New Roman"/>
                <w:sz w:val="28"/>
                <w:szCs w:val="28"/>
                <w:lang w:val="uk-UA"/>
              </w:rPr>
              <w:t>0,906±0,027º*</w:t>
            </w:r>
          </w:p>
        </w:tc>
      </w:tr>
    </w:tbl>
    <w:p w:rsidR="001F0A71" w:rsidRPr="0036311A" w:rsidRDefault="001F0A71" w:rsidP="0069152C">
      <w:pPr>
        <w:widowControl w:val="0"/>
        <w:tabs>
          <w:tab w:val="left" w:pos="1080"/>
        </w:tabs>
        <w:spacing w:after="0" w:line="240" w:lineRule="auto"/>
        <w:ind w:firstLine="284"/>
        <w:jc w:val="both"/>
        <w:rPr>
          <w:rFonts w:ascii="Times New Roman" w:hAnsi="Times New Roman"/>
          <w:sz w:val="28"/>
          <w:szCs w:val="28"/>
          <w:lang w:val="uk-UA"/>
        </w:rPr>
      </w:pPr>
    </w:p>
    <w:p w:rsidR="001F0A71" w:rsidRDefault="001F0A71" w:rsidP="0069152C">
      <w:pPr>
        <w:widowControl w:val="0"/>
        <w:tabs>
          <w:tab w:val="left" w:pos="1080"/>
        </w:tabs>
        <w:spacing w:after="0" w:line="240" w:lineRule="auto"/>
        <w:ind w:firstLine="284"/>
        <w:jc w:val="both"/>
        <w:rPr>
          <w:rFonts w:ascii="Times New Roman" w:hAnsi="Times New Roman"/>
          <w:sz w:val="28"/>
          <w:szCs w:val="28"/>
          <w:lang w:val="uk-UA"/>
        </w:rPr>
      </w:pPr>
      <w:r w:rsidRPr="00FD6349">
        <w:rPr>
          <w:rFonts w:ascii="Times New Roman" w:hAnsi="Times New Roman"/>
          <w:sz w:val="28"/>
          <w:szCs w:val="28"/>
          <w:lang w:val="uk-UA"/>
        </w:rPr>
        <w:t>Примітки:</w:t>
      </w:r>
    </w:p>
    <w:p w:rsidR="001F0A71" w:rsidRDefault="001F0A71" w:rsidP="00473231">
      <w:pPr>
        <w:pStyle w:val="a5"/>
        <w:widowControl w:val="0"/>
        <w:numPr>
          <w:ilvl w:val="0"/>
          <w:numId w:val="23"/>
        </w:numPr>
        <w:tabs>
          <w:tab w:val="left" w:pos="993"/>
          <w:tab w:val="left" w:pos="1701"/>
        </w:tabs>
        <w:spacing w:after="0" w:line="360" w:lineRule="auto"/>
        <w:ind w:left="709" w:firstLine="0"/>
        <w:jc w:val="both"/>
        <w:rPr>
          <w:rFonts w:ascii="Times New Roman" w:hAnsi="Times New Roman"/>
          <w:sz w:val="28"/>
          <w:szCs w:val="28"/>
          <w:lang w:val="uk-UA"/>
        </w:rPr>
      </w:pPr>
      <w:r w:rsidRPr="00FD6349">
        <w:rPr>
          <w:rFonts w:ascii="Times New Roman" w:hAnsi="Times New Roman"/>
          <w:sz w:val="28"/>
          <w:szCs w:val="28"/>
          <w:lang w:val="uk-UA"/>
        </w:rPr>
        <w:t>º – р&lt;0,05 відносно псевдооперованих тварин;</w:t>
      </w:r>
    </w:p>
    <w:p w:rsidR="001F0A71" w:rsidRPr="00FD6349" w:rsidRDefault="001F0A71" w:rsidP="00473231">
      <w:pPr>
        <w:pStyle w:val="a5"/>
        <w:widowControl w:val="0"/>
        <w:numPr>
          <w:ilvl w:val="0"/>
          <w:numId w:val="23"/>
        </w:numPr>
        <w:tabs>
          <w:tab w:val="left" w:pos="993"/>
          <w:tab w:val="left" w:pos="1701"/>
        </w:tabs>
        <w:spacing w:after="0" w:line="360" w:lineRule="auto"/>
        <w:ind w:left="709" w:firstLine="0"/>
        <w:jc w:val="both"/>
        <w:rPr>
          <w:rFonts w:ascii="Times New Roman" w:hAnsi="Times New Roman"/>
          <w:sz w:val="28"/>
          <w:szCs w:val="28"/>
          <w:lang w:val="uk-UA"/>
        </w:rPr>
      </w:pPr>
      <w:r w:rsidRPr="003A136D">
        <w:rPr>
          <w:rFonts w:ascii="Times New Roman" w:hAnsi="Times New Roman"/>
          <w:sz w:val="28"/>
          <w:szCs w:val="28"/>
          <w:lang w:val="uk-UA"/>
        </w:rPr>
        <w:t>* – р&lt;0,05 відносно контрольної патології;</w:t>
      </w:r>
    </w:p>
    <w:p w:rsidR="001F0A71" w:rsidRPr="003A136D" w:rsidRDefault="001F0A71" w:rsidP="00473231">
      <w:pPr>
        <w:pStyle w:val="a5"/>
        <w:widowControl w:val="0"/>
        <w:numPr>
          <w:ilvl w:val="0"/>
          <w:numId w:val="23"/>
        </w:numPr>
        <w:tabs>
          <w:tab w:val="left" w:pos="993"/>
        </w:tabs>
        <w:spacing w:after="0" w:line="360" w:lineRule="auto"/>
        <w:ind w:left="709" w:firstLine="0"/>
        <w:jc w:val="both"/>
        <w:rPr>
          <w:rFonts w:ascii="Times New Roman" w:hAnsi="Times New Roman"/>
          <w:sz w:val="28"/>
          <w:szCs w:val="28"/>
          <w:lang w:val="uk-UA"/>
        </w:rPr>
      </w:pPr>
      <w:r w:rsidRPr="003A136D">
        <w:rPr>
          <w:rFonts w:ascii="Times New Roman" w:hAnsi="Times New Roman"/>
          <w:sz w:val="28"/>
          <w:szCs w:val="28"/>
          <w:lang w:val="uk-UA"/>
        </w:rPr>
        <w:t xml:space="preserve">α – р&lt;0,05 </w:t>
      </w:r>
      <w:r w:rsidRPr="003A136D">
        <w:rPr>
          <w:rFonts w:ascii="Times New Roman" w:hAnsi="Times New Roman"/>
          <w:sz w:val="28"/>
          <w:lang w:val="uk-UA"/>
        </w:rPr>
        <w:t xml:space="preserve">відносно </w:t>
      </w:r>
      <w:r w:rsidRPr="003A136D">
        <w:rPr>
          <w:rFonts w:ascii="Times New Roman" w:hAnsi="Times New Roman"/>
          <w:sz w:val="28"/>
          <w:szCs w:val="28"/>
          <w:lang w:val="uk-UA"/>
        </w:rPr>
        <w:t>німодипіну.</w:t>
      </w:r>
    </w:p>
    <w:p w:rsidR="00BB6F54" w:rsidRPr="0036311A" w:rsidRDefault="00BB6F54" w:rsidP="00BB6F54">
      <w:pPr>
        <w:widowControl w:val="0"/>
        <w:tabs>
          <w:tab w:val="left" w:pos="1276"/>
          <w:tab w:val="left" w:pos="1701"/>
        </w:tabs>
        <w:spacing w:after="0" w:line="360" w:lineRule="auto"/>
        <w:ind w:firstLine="284"/>
        <w:jc w:val="both"/>
        <w:rPr>
          <w:rFonts w:ascii="Times New Roman" w:hAnsi="Times New Roman"/>
          <w:sz w:val="28"/>
          <w:szCs w:val="28"/>
          <w:lang w:val="uk-UA"/>
        </w:rPr>
      </w:pPr>
    </w:p>
    <w:p w:rsidR="00F4128A" w:rsidRDefault="00F4128A" w:rsidP="0069152C">
      <w:pPr>
        <w:widowControl w:val="0"/>
        <w:shd w:val="clear" w:color="auto" w:fill="FFFFFF"/>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Окреме курсове лікувальне введення щурам із ГПМК адемолу, так само, як і німодипіну чинило подібний за вектором, однак, різний за силою депримуючий вплив на організацію ішемічного вогнища, у першу чергу, за рахунок зменшення необоротно пошкоджених нейроцитів. </w:t>
      </w:r>
    </w:p>
    <w:p w:rsidR="00F4128A" w:rsidRDefault="00F4128A" w:rsidP="0069152C">
      <w:pPr>
        <w:widowControl w:val="0"/>
        <w:shd w:val="clear" w:color="auto" w:fill="FFFFFF"/>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Так, на тлі адемолу, відсотковий вміст у досліджуваній клітинній суспензії ядер із ДНК у фазі S, виявився меншим відносно тотожного показника у групі контрольної патології, або у тварин, яким проводили терапію німодипіном в середньому відповідно у 3,0 та 1,68 рази, р&lt;0,05. Така перевага адемолу над референсом є закономірною, оскільки, очевидна перевага першого була продемонстрована при оцінці енолазної активності, а NSE, як вже неодноразово підкреслювалось, відображає нейроцитоліз, у відповідь на котрий і відбувається поділ нейроглії.</w:t>
      </w:r>
    </w:p>
    <w:p w:rsidR="001F0A71" w:rsidRPr="001F0A71" w:rsidRDefault="001F0A71" w:rsidP="0069152C">
      <w:pPr>
        <w:widowControl w:val="0"/>
        <w:shd w:val="clear" w:color="auto" w:fill="FFFFFF"/>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Очевидно, низька активність нейроглії на тлі терапії ВМК розчином адемолу, вказує на той факт, що він володіє церебропротекторною активністю, внаслідок чого </w:t>
      </w:r>
      <w:r w:rsidRPr="00FD6349">
        <w:rPr>
          <w:rFonts w:ascii="Times New Roman" w:hAnsi="Times New Roman"/>
          <w:sz w:val="28"/>
          <w:szCs w:val="28"/>
          <w:lang w:val="uk-UA"/>
        </w:rPr>
        <w:lastRenderedPageBreak/>
        <w:t xml:space="preserve">значно зменшується нейронекроз і зберігається морфо-структурна цілісність мозку. Причому, за своєю захисною дією, по даним протоково-цитометричного аналізу у розрізі виділення клітин у фазі S адемол вірогідно переважає німодипін. Отже, досліджуване похідне адамантану в умовах ВМК сприяє пригніченню процесів нейроцитолізу та асоційованої з останнім нейропроліферації, і є одним із клітинних </w:t>
      </w:r>
      <w:r w:rsidRPr="001F0A71">
        <w:rPr>
          <w:rFonts w:ascii="Times New Roman" w:hAnsi="Times New Roman"/>
          <w:sz w:val="28"/>
          <w:szCs w:val="28"/>
          <w:lang w:val="uk-UA"/>
        </w:rPr>
        <w:t xml:space="preserve">механізмів його церебропротекторної дії. </w:t>
      </w:r>
    </w:p>
    <w:p w:rsidR="001F0A71" w:rsidRPr="00986762" w:rsidRDefault="001F0A71" w:rsidP="0069152C">
      <w:pPr>
        <w:pStyle w:val="2"/>
        <w:spacing w:line="360" w:lineRule="auto"/>
        <w:ind w:firstLine="284"/>
        <w:jc w:val="both"/>
        <w:rPr>
          <w:rFonts w:ascii="Times New Roman" w:hAnsi="Times New Roman" w:cs="Times New Roman"/>
          <w:color w:val="auto"/>
          <w:sz w:val="28"/>
          <w:szCs w:val="28"/>
          <w:lang w:val="uk-UA"/>
        </w:rPr>
      </w:pPr>
      <w:r w:rsidRPr="00986762">
        <w:rPr>
          <w:rFonts w:ascii="Times New Roman" w:hAnsi="Times New Roman" w:cs="Times New Roman"/>
          <w:color w:val="auto"/>
          <w:sz w:val="28"/>
          <w:szCs w:val="28"/>
          <w:lang w:val="uk-UA"/>
        </w:rPr>
        <w:t>5.4 Оцінка впливу адемолу на морфо-деструктивні</w:t>
      </w:r>
      <w:r w:rsidR="00170F94" w:rsidRPr="00986762">
        <w:rPr>
          <w:rFonts w:ascii="Times New Roman" w:hAnsi="Times New Roman" w:cs="Times New Roman"/>
          <w:color w:val="auto"/>
          <w:sz w:val="28"/>
          <w:szCs w:val="28"/>
          <w:lang w:val="uk-UA"/>
        </w:rPr>
        <w:t xml:space="preserve"> зміни у головному мозку щурів </w:t>
      </w:r>
      <w:r w:rsidRPr="00986762">
        <w:rPr>
          <w:rFonts w:ascii="Times New Roman" w:hAnsi="Times New Roman" w:cs="Times New Roman"/>
          <w:color w:val="auto"/>
          <w:sz w:val="28"/>
          <w:szCs w:val="28"/>
          <w:lang w:val="uk-UA"/>
        </w:rPr>
        <w:t>з інтракраніальним крововиливом за даними світлової мікроскопії</w:t>
      </w:r>
    </w:p>
    <w:p w:rsidR="001F0A71" w:rsidRDefault="001F0A71" w:rsidP="0069152C">
      <w:pPr>
        <w:widowControl w:val="0"/>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Одним із наглядних доказів морфо-деструктивних явищ, що мають в головному мозку при моделюванні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D6349">
        <w:rPr>
          <w:rFonts w:ascii="Times New Roman" w:hAnsi="Times New Roman"/>
          <w:sz w:val="28"/>
          <w:szCs w:val="28"/>
          <w:lang w:val="uk-UA"/>
        </w:rPr>
        <w:t xml:space="preserve"> може стати оцінка мікропрепаратів за допомогою світлової мікроскопії. Отримані дані є оціночними, з певною </w:t>
      </w:r>
      <w:r>
        <w:rPr>
          <w:rFonts w:ascii="Times New Roman" w:hAnsi="Times New Roman"/>
          <w:sz w:val="28"/>
          <w:szCs w:val="28"/>
          <w:lang w:val="uk-UA"/>
        </w:rPr>
        <w:t>часткою</w:t>
      </w:r>
      <w:r w:rsidRPr="00FD6349">
        <w:rPr>
          <w:rFonts w:ascii="Times New Roman" w:hAnsi="Times New Roman"/>
          <w:sz w:val="28"/>
          <w:szCs w:val="28"/>
          <w:lang w:val="uk-UA"/>
        </w:rPr>
        <w:t xml:space="preserve"> суб’єктивізму, оскільки ґрунтуються на описі того зображення, на якому фіксує свою увагу гістолог. Проте, оглядова світлова мікроскопія, незважаючи на більш сучасні методики морфологічної оцінки, залишається актуальною. Доказом цього є широке використання цього методу експрес-діагностики (оперативні втручання), а також при проведенні патолого-анатомічного дослідження. Беззаперечною перевагою цього методу, є відносна простота та доступність, оскільки для своєї реалізації цей різновид мікроскопічного аналізу не потребує дороговартісного морфологічного обладнання, що насьогодні набуває особливого значення. При доклінічних дослідженнях, проведення аналізу морфологічних змін за допомогою світлового мікроскопу дозволяє наглядно охарактеризувати модель патологічного стану та оцінити ефективність терапії. При візуальній оцінці фотографій зроблених із мікропрепаратів </w:t>
      </w:r>
      <w:r>
        <w:rPr>
          <w:rFonts w:ascii="Times New Roman" w:hAnsi="Times New Roman"/>
          <w:sz w:val="28"/>
          <w:szCs w:val="28"/>
          <w:lang w:val="uk-UA"/>
        </w:rPr>
        <w:t>САП</w:t>
      </w:r>
      <w:r w:rsidRPr="00FD6349">
        <w:rPr>
          <w:rFonts w:ascii="Times New Roman" w:hAnsi="Times New Roman"/>
          <w:sz w:val="28"/>
          <w:szCs w:val="28"/>
          <w:lang w:val="uk-UA"/>
        </w:rPr>
        <w:t>, гіпокампальної зони та кори сомато-сенсорної кори псевдооперованих щурів (4-та доба), можна зробити заключення, яке деталізовано нижче</w:t>
      </w:r>
      <w:r>
        <w:rPr>
          <w:rFonts w:ascii="Times New Roman" w:hAnsi="Times New Roman"/>
          <w:sz w:val="28"/>
          <w:szCs w:val="28"/>
          <w:lang w:val="uk-UA"/>
        </w:rPr>
        <w:t xml:space="preserve"> (рис</w:t>
      </w:r>
      <w:r w:rsidRPr="00FD6349">
        <w:rPr>
          <w:rFonts w:ascii="Times New Roman" w:hAnsi="Times New Roman"/>
          <w:sz w:val="28"/>
          <w:szCs w:val="28"/>
          <w:lang w:val="uk-UA"/>
        </w:rPr>
        <w:t xml:space="preserve">. </w:t>
      </w:r>
      <w:r>
        <w:rPr>
          <w:rFonts w:ascii="Times New Roman" w:hAnsi="Times New Roman"/>
          <w:sz w:val="28"/>
          <w:szCs w:val="28"/>
          <w:lang w:val="uk-UA"/>
        </w:rPr>
        <w:t>5.1, 5.2).</w:t>
      </w:r>
    </w:p>
    <w:p w:rsidR="001F0A71" w:rsidRPr="00FD6349" w:rsidRDefault="001F0A71" w:rsidP="0069152C">
      <w:pPr>
        <w:widowControl w:val="0"/>
        <w:spacing w:after="0" w:line="360" w:lineRule="auto"/>
        <w:ind w:firstLine="284"/>
        <w:jc w:val="both"/>
        <w:rPr>
          <w:rFonts w:ascii="Times New Roman" w:hAnsi="Times New Roman"/>
          <w:sz w:val="28"/>
          <w:szCs w:val="28"/>
          <w:lang w:val="uk-UA"/>
        </w:rPr>
      </w:pPr>
      <w:r>
        <w:rPr>
          <w:rFonts w:ascii="Times New Roman" w:hAnsi="Times New Roman"/>
          <w:sz w:val="28"/>
          <w:szCs w:val="28"/>
          <w:lang w:val="uk-UA"/>
        </w:rPr>
        <w:t>САП</w:t>
      </w:r>
      <w:r w:rsidRPr="00FD6349">
        <w:rPr>
          <w:rFonts w:ascii="Times New Roman" w:hAnsi="Times New Roman"/>
          <w:sz w:val="28"/>
          <w:szCs w:val="28"/>
          <w:lang w:val="uk-UA"/>
        </w:rPr>
        <w:t xml:space="preserve"> вільний від крові, в ньому інтерпретуються судини мякої мозкової оболонки, в артеріолах якої можна диференціювати окремі шари (м’язів, ендотеліальнавистілка, тощо), помітні венули, заповнені кровю.</w:t>
      </w:r>
    </w:p>
    <w:p w:rsidR="001F0A71" w:rsidRDefault="001F0A71" w:rsidP="0069152C">
      <w:pPr>
        <w:widowControl w:val="0"/>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В судинах можна помітити форменні елементи крові (еритроцити), периваскулярний набряк відсутній, як і відсутній діапедез еритроцитів у </w:t>
      </w:r>
      <w:r w:rsidRPr="00FD6349">
        <w:rPr>
          <w:rFonts w:ascii="Times New Roman" w:hAnsi="Times New Roman"/>
          <w:sz w:val="28"/>
          <w:szCs w:val="28"/>
          <w:lang w:val="uk-UA"/>
        </w:rPr>
        <w:lastRenderedPageBreak/>
        <w:t>навколишньосудинний простір. Немає озна</w:t>
      </w:r>
      <w:r w:rsidR="0064389D">
        <w:rPr>
          <w:rFonts w:ascii="Times New Roman" w:hAnsi="Times New Roman"/>
          <w:sz w:val="28"/>
          <w:szCs w:val="28"/>
          <w:lang w:val="uk-UA"/>
        </w:rPr>
        <w:t>к просякнення та імбібіції кров’</w:t>
      </w:r>
      <w:r w:rsidRPr="00FD6349">
        <w:rPr>
          <w:rFonts w:ascii="Times New Roman" w:hAnsi="Times New Roman"/>
          <w:sz w:val="28"/>
          <w:szCs w:val="28"/>
          <w:lang w:val="uk-UA"/>
        </w:rPr>
        <w:t>ю мозкової тканини. Між судинами мікроциркуляторного русла виявляються нейрони, в яких чітко диференціюються основні структурні елементи, такі як тіло нейрону, відростки (аксони і дендрити), ядро та ядерце. Немає ознак перицелюлярного набряку та ознак нейродегенеративних явищ (</w:t>
      </w:r>
      <w:r>
        <w:rPr>
          <w:rFonts w:ascii="Times New Roman" w:hAnsi="Times New Roman"/>
          <w:sz w:val="28"/>
          <w:szCs w:val="28"/>
          <w:lang w:val="uk-UA"/>
        </w:rPr>
        <w:t>рис</w:t>
      </w:r>
      <w:r w:rsidRPr="00FD6349">
        <w:rPr>
          <w:rFonts w:ascii="Times New Roman" w:hAnsi="Times New Roman"/>
          <w:sz w:val="28"/>
          <w:szCs w:val="28"/>
          <w:lang w:val="uk-UA"/>
        </w:rPr>
        <w:t>. 5.1 (А) та 5.2 (А)).</w:t>
      </w:r>
    </w:p>
    <w:p w:rsidR="001F0A71" w:rsidRDefault="001F0A71" w:rsidP="0069152C">
      <w:pPr>
        <w:widowControl w:val="0"/>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На 4-ту добу після введення аутокрові під м'яку мозкову оболонку, так само як і безпосередньо в саму речовину мозку, супроводжувалось характерними для цього стану деструктивно-дегенеративними змінами, опис яких деталізовано далі по тексту.</w:t>
      </w:r>
    </w:p>
    <w:p w:rsidR="001F0A71" w:rsidRDefault="001F0A71" w:rsidP="0069152C">
      <w:pPr>
        <w:widowControl w:val="0"/>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На </w:t>
      </w:r>
      <w:r>
        <w:rPr>
          <w:rFonts w:ascii="Times New Roman" w:hAnsi="Times New Roman"/>
          <w:sz w:val="28"/>
          <w:szCs w:val="28"/>
          <w:lang w:val="uk-UA"/>
        </w:rPr>
        <w:t>рис.</w:t>
      </w:r>
      <w:r w:rsidRPr="00FD6349">
        <w:rPr>
          <w:rFonts w:ascii="Times New Roman" w:hAnsi="Times New Roman"/>
          <w:sz w:val="28"/>
          <w:szCs w:val="28"/>
          <w:lang w:val="uk-UA"/>
        </w:rPr>
        <w:t xml:space="preserve"> 5.</w:t>
      </w:r>
      <w:r>
        <w:rPr>
          <w:rFonts w:ascii="Times New Roman" w:hAnsi="Times New Roman"/>
          <w:sz w:val="28"/>
          <w:szCs w:val="28"/>
          <w:lang w:val="uk-UA"/>
        </w:rPr>
        <w:t>5</w:t>
      </w:r>
      <w:r w:rsidRPr="00FD6349">
        <w:rPr>
          <w:rFonts w:ascii="Times New Roman" w:hAnsi="Times New Roman"/>
          <w:sz w:val="28"/>
          <w:szCs w:val="28"/>
          <w:lang w:val="uk-UA"/>
        </w:rPr>
        <w:t xml:space="preserve"> фрагмент Б та В представлено типові морфологічні зміни, які мають місце в </w:t>
      </w:r>
      <w:r>
        <w:rPr>
          <w:rFonts w:ascii="Times New Roman" w:hAnsi="Times New Roman"/>
          <w:sz w:val="28"/>
          <w:szCs w:val="28"/>
          <w:lang w:val="uk-UA"/>
        </w:rPr>
        <w:t>САП</w:t>
      </w:r>
      <w:r w:rsidRPr="00FD6349">
        <w:rPr>
          <w:rFonts w:ascii="Times New Roman" w:hAnsi="Times New Roman"/>
          <w:sz w:val="28"/>
          <w:szCs w:val="28"/>
          <w:lang w:val="uk-UA"/>
        </w:rPr>
        <w:t xml:space="preserve"> (під м'якою мозковою оболонкою), у вигляді крововиливу при САК та гематоми при ВМК, помітно окремі форменні елементи крові, виявляється імбібована еритроцитами мозкова тканина.</w:t>
      </w:r>
    </w:p>
    <w:p w:rsidR="00F4128A" w:rsidRPr="00FD6349" w:rsidRDefault="00F4128A" w:rsidP="0069152C">
      <w:pPr>
        <w:widowControl w:val="0"/>
        <w:spacing w:after="0" w:line="360" w:lineRule="auto"/>
        <w:ind w:firstLine="284"/>
        <w:jc w:val="both"/>
        <w:rPr>
          <w:rFonts w:ascii="Times New Roman" w:hAnsi="Times New Roman"/>
          <w:sz w:val="28"/>
          <w:szCs w:val="28"/>
          <w:lang w:val="uk-UA"/>
        </w:rPr>
      </w:pPr>
    </w:p>
    <w:tbl>
      <w:tblPr>
        <w:tblW w:w="9356" w:type="dxa"/>
        <w:tblInd w:w="108" w:type="dxa"/>
        <w:tblLayout w:type="fixed"/>
        <w:tblLook w:val="01E0"/>
      </w:tblPr>
      <w:tblGrid>
        <w:gridCol w:w="4820"/>
        <w:gridCol w:w="4536"/>
      </w:tblGrid>
      <w:tr w:rsidR="001F0A71" w:rsidRPr="00FD6349" w:rsidTr="001F0A71">
        <w:trPr>
          <w:trHeight w:val="454"/>
        </w:trPr>
        <w:tc>
          <w:tcPr>
            <w:tcW w:w="4820" w:type="dxa"/>
            <w:shd w:val="clear" w:color="auto" w:fill="auto"/>
          </w:tcPr>
          <w:p w:rsidR="001F0A71" w:rsidRPr="00FD6349" w:rsidRDefault="001F0A71" w:rsidP="001F0A71">
            <w:pPr>
              <w:widowControl w:val="0"/>
              <w:tabs>
                <w:tab w:val="center" w:pos="2302"/>
                <w:tab w:val="right" w:pos="4604"/>
              </w:tabs>
              <w:spacing w:after="0" w:line="360" w:lineRule="auto"/>
              <w:ind w:firstLine="284"/>
              <w:rPr>
                <w:rFonts w:ascii="Times New Roman" w:hAnsi="Times New Roman"/>
                <w:sz w:val="28"/>
                <w:szCs w:val="28"/>
                <w:lang w:val="uk-UA"/>
              </w:rPr>
            </w:pPr>
            <w:r w:rsidRPr="00FD6349">
              <w:rPr>
                <w:lang w:val="uk-UA"/>
              </w:rPr>
              <w:tab/>
            </w:r>
            <w:r w:rsidR="005D0FB9">
              <w:rPr>
                <w:noProof/>
              </w:rPr>
              <w:drawing>
                <wp:inline distT="0" distB="0" distL="0" distR="0">
                  <wp:extent cx="2162175" cy="1828800"/>
                  <wp:effectExtent l="0" t="0" r="9525"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1828800"/>
                          </a:xfrm>
                          <a:prstGeom prst="rect">
                            <a:avLst/>
                          </a:prstGeom>
                          <a:noFill/>
                          <a:ln>
                            <a:noFill/>
                          </a:ln>
                        </pic:spPr>
                      </pic:pic>
                    </a:graphicData>
                  </a:graphic>
                </wp:inline>
              </w:drawing>
            </w:r>
            <w:r w:rsidRPr="00FD6349">
              <w:rPr>
                <w:lang w:val="uk-UA"/>
              </w:rPr>
              <w:tab/>
            </w:r>
          </w:p>
        </w:tc>
        <w:tc>
          <w:tcPr>
            <w:tcW w:w="4536" w:type="dxa"/>
            <w:shd w:val="clear" w:color="auto" w:fill="auto"/>
          </w:tcPr>
          <w:p w:rsidR="001F0A71" w:rsidRPr="00FD6349" w:rsidRDefault="005D0FB9" w:rsidP="001F0A71">
            <w:pPr>
              <w:widowControl w:val="0"/>
              <w:spacing w:after="0" w:line="360" w:lineRule="auto"/>
              <w:ind w:firstLine="284"/>
              <w:jc w:val="center"/>
              <w:rPr>
                <w:rFonts w:ascii="Times New Roman" w:hAnsi="Times New Roman"/>
                <w:sz w:val="28"/>
                <w:szCs w:val="28"/>
                <w:lang w:val="uk-UA"/>
              </w:rPr>
            </w:pPr>
            <w:r>
              <w:rPr>
                <w:noProof/>
              </w:rPr>
              <w:drawing>
                <wp:inline distT="0" distB="0" distL="0" distR="0">
                  <wp:extent cx="2171700" cy="1771650"/>
                  <wp:effectExtent l="0" t="0" r="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1771650"/>
                          </a:xfrm>
                          <a:prstGeom prst="rect">
                            <a:avLst/>
                          </a:prstGeom>
                          <a:noFill/>
                          <a:ln>
                            <a:noFill/>
                          </a:ln>
                        </pic:spPr>
                      </pic:pic>
                    </a:graphicData>
                  </a:graphic>
                </wp:inline>
              </w:drawing>
            </w:r>
          </w:p>
        </w:tc>
      </w:tr>
      <w:tr w:rsidR="001F0A71" w:rsidRPr="00FD6349" w:rsidTr="001F0A71">
        <w:trPr>
          <w:trHeight w:val="385"/>
        </w:trPr>
        <w:tc>
          <w:tcPr>
            <w:tcW w:w="9356" w:type="dxa"/>
            <w:gridSpan w:val="2"/>
            <w:shd w:val="clear" w:color="auto" w:fill="auto"/>
          </w:tcPr>
          <w:p w:rsidR="001F0A71" w:rsidRPr="00FD6349" w:rsidRDefault="001F0A71" w:rsidP="001F0A71">
            <w:pPr>
              <w:widowControl w:val="0"/>
              <w:spacing w:after="0" w:line="240" w:lineRule="auto"/>
              <w:ind w:firstLine="284"/>
              <w:jc w:val="center"/>
              <w:rPr>
                <w:szCs w:val="28"/>
                <w:lang w:val="uk-UA"/>
              </w:rPr>
            </w:pPr>
            <w:r w:rsidRPr="00FD6349">
              <w:rPr>
                <w:rFonts w:ascii="Times New Roman" w:hAnsi="Times New Roman"/>
                <w:sz w:val="28"/>
                <w:szCs w:val="28"/>
                <w:lang w:val="uk-UA"/>
              </w:rPr>
              <w:t>А.</w:t>
            </w:r>
          </w:p>
        </w:tc>
      </w:tr>
      <w:tr w:rsidR="001F0A71" w:rsidRPr="00FD6349" w:rsidTr="001F0A71">
        <w:trPr>
          <w:trHeight w:val="2975"/>
        </w:trPr>
        <w:tc>
          <w:tcPr>
            <w:tcW w:w="4820" w:type="dxa"/>
            <w:shd w:val="clear" w:color="auto" w:fill="auto"/>
          </w:tcPr>
          <w:p w:rsidR="001F0A71" w:rsidRPr="00FD6349" w:rsidRDefault="005D0FB9" w:rsidP="001F0A71">
            <w:pPr>
              <w:pStyle w:val="13"/>
              <w:widowControl w:val="0"/>
              <w:spacing w:line="360" w:lineRule="auto"/>
              <w:ind w:firstLine="284"/>
              <w:jc w:val="center"/>
              <w:rPr>
                <w:szCs w:val="28"/>
              </w:rPr>
            </w:pPr>
            <w:r>
              <w:rPr>
                <w:noProof/>
                <w:lang w:val="ru-RU" w:eastAsia="ru-RU"/>
              </w:rPr>
              <w:drawing>
                <wp:inline distT="0" distB="0" distL="0" distR="0">
                  <wp:extent cx="2200275" cy="1828800"/>
                  <wp:effectExtent l="0" t="0" r="9525" b="0"/>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275" cy="1828800"/>
                          </a:xfrm>
                          <a:prstGeom prst="rect">
                            <a:avLst/>
                          </a:prstGeom>
                          <a:noFill/>
                          <a:ln>
                            <a:noFill/>
                          </a:ln>
                        </pic:spPr>
                      </pic:pic>
                    </a:graphicData>
                  </a:graphic>
                </wp:inline>
              </w:drawing>
            </w:r>
          </w:p>
        </w:tc>
        <w:tc>
          <w:tcPr>
            <w:tcW w:w="4536" w:type="dxa"/>
            <w:shd w:val="clear" w:color="auto" w:fill="auto"/>
          </w:tcPr>
          <w:p w:rsidR="001F0A71" w:rsidRPr="00FD6349" w:rsidRDefault="005D0FB9" w:rsidP="001F0A71">
            <w:pPr>
              <w:pStyle w:val="13"/>
              <w:widowControl w:val="0"/>
              <w:spacing w:line="360" w:lineRule="auto"/>
              <w:ind w:firstLine="284"/>
              <w:jc w:val="center"/>
              <w:rPr>
                <w:szCs w:val="28"/>
              </w:rPr>
            </w:pPr>
            <w:r>
              <w:rPr>
                <w:noProof/>
                <w:lang w:val="ru-RU" w:eastAsia="ru-RU"/>
              </w:rPr>
              <w:drawing>
                <wp:inline distT="0" distB="0" distL="0" distR="0">
                  <wp:extent cx="2181225" cy="1885950"/>
                  <wp:effectExtent l="0" t="0" r="9525" b="0"/>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1885950"/>
                          </a:xfrm>
                          <a:prstGeom prst="rect">
                            <a:avLst/>
                          </a:prstGeom>
                          <a:noFill/>
                          <a:ln>
                            <a:noFill/>
                          </a:ln>
                        </pic:spPr>
                      </pic:pic>
                    </a:graphicData>
                  </a:graphic>
                </wp:inline>
              </w:drawing>
            </w:r>
          </w:p>
        </w:tc>
      </w:tr>
      <w:tr w:rsidR="001F0A71" w:rsidRPr="00FD6349" w:rsidTr="001F0A71">
        <w:trPr>
          <w:trHeight w:val="335"/>
        </w:trPr>
        <w:tc>
          <w:tcPr>
            <w:tcW w:w="9356" w:type="dxa"/>
            <w:gridSpan w:val="2"/>
            <w:shd w:val="clear" w:color="auto" w:fill="auto"/>
          </w:tcPr>
          <w:p w:rsidR="001F0A71" w:rsidRPr="00FD6349" w:rsidRDefault="001F0A71" w:rsidP="001F0A71">
            <w:pPr>
              <w:pStyle w:val="13"/>
              <w:widowControl w:val="0"/>
              <w:ind w:firstLine="284"/>
              <w:jc w:val="center"/>
              <w:rPr>
                <w:noProof/>
              </w:rPr>
            </w:pPr>
            <w:r w:rsidRPr="00FD6349">
              <w:rPr>
                <w:szCs w:val="28"/>
              </w:rPr>
              <w:t>Б.</w:t>
            </w:r>
          </w:p>
        </w:tc>
      </w:tr>
      <w:tr w:rsidR="001F0A71" w:rsidRPr="00FD6349" w:rsidTr="001F0A71">
        <w:trPr>
          <w:trHeight w:val="3199"/>
        </w:trPr>
        <w:tc>
          <w:tcPr>
            <w:tcW w:w="4820" w:type="dxa"/>
            <w:shd w:val="clear" w:color="auto" w:fill="auto"/>
          </w:tcPr>
          <w:p w:rsidR="001F0A71" w:rsidRPr="00FD6349" w:rsidRDefault="005D0FB9" w:rsidP="001F0A71">
            <w:pPr>
              <w:pStyle w:val="13"/>
              <w:widowControl w:val="0"/>
              <w:spacing w:line="360" w:lineRule="auto"/>
              <w:ind w:firstLine="284"/>
              <w:jc w:val="center"/>
              <w:rPr>
                <w:noProof/>
              </w:rPr>
            </w:pPr>
            <w:r>
              <w:rPr>
                <w:noProof/>
                <w:lang w:val="ru-RU" w:eastAsia="ru-RU"/>
              </w:rPr>
              <w:lastRenderedPageBreak/>
              <w:drawing>
                <wp:inline distT="0" distB="0" distL="0" distR="0">
                  <wp:extent cx="2181225" cy="1885950"/>
                  <wp:effectExtent l="0" t="0" r="9525"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1885950"/>
                          </a:xfrm>
                          <a:prstGeom prst="rect">
                            <a:avLst/>
                          </a:prstGeom>
                          <a:noFill/>
                          <a:ln>
                            <a:noFill/>
                          </a:ln>
                        </pic:spPr>
                      </pic:pic>
                    </a:graphicData>
                  </a:graphic>
                </wp:inline>
              </w:drawing>
            </w:r>
          </w:p>
        </w:tc>
        <w:tc>
          <w:tcPr>
            <w:tcW w:w="4536" w:type="dxa"/>
            <w:shd w:val="clear" w:color="auto" w:fill="auto"/>
          </w:tcPr>
          <w:p w:rsidR="001F0A71" w:rsidRPr="00FD6349" w:rsidRDefault="00360067" w:rsidP="001F0A71">
            <w:pPr>
              <w:pStyle w:val="13"/>
              <w:widowControl w:val="0"/>
              <w:spacing w:line="360" w:lineRule="auto"/>
              <w:ind w:firstLine="284"/>
              <w:jc w:val="center"/>
              <w:rPr>
                <w:noProof/>
              </w:rPr>
            </w:pPr>
            <w:r>
              <w:rPr>
                <w:noProof/>
              </w:rPr>
              <w:t>--</w:t>
            </w:r>
            <w:r w:rsidR="005D0FB9">
              <w:rPr>
                <w:noProof/>
                <w:lang w:val="ru-RU" w:eastAsia="ru-RU"/>
              </w:rPr>
              <w:drawing>
                <wp:inline distT="0" distB="0" distL="0" distR="0">
                  <wp:extent cx="2162175" cy="1885950"/>
                  <wp:effectExtent l="0" t="0" r="9525" b="0"/>
                  <wp:docPr id="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1885950"/>
                          </a:xfrm>
                          <a:prstGeom prst="rect">
                            <a:avLst/>
                          </a:prstGeom>
                          <a:noFill/>
                          <a:ln>
                            <a:noFill/>
                          </a:ln>
                        </pic:spPr>
                      </pic:pic>
                    </a:graphicData>
                  </a:graphic>
                </wp:inline>
              </w:drawing>
            </w:r>
          </w:p>
        </w:tc>
      </w:tr>
      <w:tr w:rsidR="001F0A71" w:rsidRPr="00FD6349" w:rsidTr="001F0A71">
        <w:trPr>
          <w:trHeight w:val="174"/>
        </w:trPr>
        <w:tc>
          <w:tcPr>
            <w:tcW w:w="9356" w:type="dxa"/>
            <w:gridSpan w:val="2"/>
            <w:shd w:val="clear" w:color="auto" w:fill="auto"/>
          </w:tcPr>
          <w:p w:rsidR="001F0A71" w:rsidRPr="00FD6349" w:rsidRDefault="001F0A71" w:rsidP="001F0A71">
            <w:pPr>
              <w:pStyle w:val="13"/>
              <w:widowControl w:val="0"/>
              <w:spacing w:line="360" w:lineRule="auto"/>
              <w:ind w:firstLine="284"/>
              <w:jc w:val="center"/>
              <w:rPr>
                <w:noProof/>
              </w:rPr>
            </w:pPr>
            <w:r w:rsidRPr="00FD6349">
              <w:rPr>
                <w:noProof/>
              </w:rPr>
              <w:t>В.</w:t>
            </w:r>
          </w:p>
        </w:tc>
      </w:tr>
    </w:tbl>
    <w:p w:rsidR="001F0A71" w:rsidRDefault="001F0A71" w:rsidP="0069152C">
      <w:pPr>
        <w:widowControl w:val="0"/>
        <w:shd w:val="clear" w:color="auto" w:fill="FFFFFF"/>
        <w:spacing w:after="0" w:line="360" w:lineRule="auto"/>
        <w:ind w:firstLine="284"/>
        <w:jc w:val="both"/>
        <w:rPr>
          <w:rFonts w:ascii="Times New Roman" w:hAnsi="Times New Roman"/>
          <w:sz w:val="28"/>
          <w:szCs w:val="28"/>
          <w:lang w:val="uk-UA"/>
        </w:rPr>
      </w:pPr>
    </w:p>
    <w:p w:rsidR="001F0A71" w:rsidRDefault="001F0A71" w:rsidP="00986762">
      <w:pPr>
        <w:widowControl w:val="0"/>
        <w:shd w:val="clear" w:color="auto" w:fill="FFFFFF"/>
        <w:spacing w:after="0" w:line="240" w:lineRule="auto"/>
        <w:ind w:left="1560" w:hanging="1276"/>
        <w:jc w:val="both"/>
        <w:rPr>
          <w:rFonts w:ascii="Times New Roman" w:hAnsi="Times New Roman"/>
          <w:sz w:val="28"/>
          <w:szCs w:val="28"/>
          <w:lang w:val="uk-UA"/>
        </w:rPr>
      </w:pPr>
      <w:r>
        <w:rPr>
          <w:rFonts w:ascii="Times New Roman" w:hAnsi="Times New Roman"/>
          <w:sz w:val="28"/>
          <w:szCs w:val="28"/>
          <w:lang w:val="uk-UA"/>
        </w:rPr>
        <w:t>Рис.</w:t>
      </w:r>
      <w:r w:rsidRPr="00FD6349">
        <w:rPr>
          <w:rFonts w:ascii="Times New Roman" w:hAnsi="Times New Roman"/>
          <w:sz w:val="28"/>
          <w:szCs w:val="28"/>
          <w:lang w:val="uk-UA"/>
        </w:rPr>
        <w:t xml:space="preserve"> 5.</w:t>
      </w:r>
      <w:r>
        <w:rPr>
          <w:rFonts w:ascii="Times New Roman" w:hAnsi="Times New Roman"/>
          <w:sz w:val="28"/>
          <w:szCs w:val="28"/>
          <w:lang w:val="uk-UA"/>
        </w:rPr>
        <w:t>5</w:t>
      </w:r>
      <w:r w:rsidRPr="00FD6349">
        <w:rPr>
          <w:rFonts w:ascii="Times New Roman" w:hAnsi="Times New Roman"/>
          <w:sz w:val="28"/>
          <w:szCs w:val="28"/>
          <w:lang w:val="uk-UA"/>
        </w:rPr>
        <w:t>. Фрагмент мікропрепарату мозку щурів (власні дані). Забарвлення гематоксилін-еозин. Окуляр х40. Об’єктив х10</w:t>
      </w:r>
      <w:r>
        <w:rPr>
          <w:rFonts w:ascii="Times New Roman" w:hAnsi="Times New Roman"/>
          <w:sz w:val="28"/>
          <w:szCs w:val="28"/>
          <w:lang w:val="uk-UA"/>
        </w:rPr>
        <w:t>.</w:t>
      </w:r>
      <w:r w:rsidRPr="00FD6349">
        <w:rPr>
          <w:rFonts w:ascii="Times New Roman" w:hAnsi="Times New Roman"/>
          <w:sz w:val="28"/>
          <w:szCs w:val="28"/>
          <w:lang w:val="uk-UA"/>
        </w:rPr>
        <w:t xml:space="preserve"> Незмінений субарахноїдальний простір (А); крововилив у мозок (Б); субарахноїдальний крововилив (В)</w:t>
      </w:r>
      <w:r>
        <w:rPr>
          <w:rFonts w:ascii="Times New Roman" w:hAnsi="Times New Roman"/>
          <w:sz w:val="28"/>
          <w:szCs w:val="28"/>
          <w:lang w:val="uk-UA"/>
        </w:rPr>
        <w:t>, де</w:t>
      </w:r>
      <w:r w:rsidRPr="00FD6349">
        <w:rPr>
          <w:rFonts w:ascii="Times New Roman" w:hAnsi="Times New Roman"/>
          <w:sz w:val="28"/>
          <w:szCs w:val="28"/>
          <w:lang w:val="uk-UA"/>
        </w:rPr>
        <w:t>: 1 – речовина мозку; 2 – субарахноїдальний простір; 3 – артеріола; 4 – венула; 5– форменні елементи; 6 – нейрони (а -тіло; б – відростки аксони та дендрити; в – ядра); 7 – рідка кров</w:t>
      </w:r>
    </w:p>
    <w:p w:rsidR="001F0A71" w:rsidRDefault="001F0A71" w:rsidP="0069152C">
      <w:pPr>
        <w:widowControl w:val="0"/>
        <w:shd w:val="clear" w:color="auto" w:fill="FFFFFF"/>
        <w:spacing w:after="0" w:line="240" w:lineRule="auto"/>
        <w:ind w:firstLine="284"/>
        <w:jc w:val="both"/>
        <w:rPr>
          <w:rFonts w:ascii="Times New Roman" w:hAnsi="Times New Roman"/>
          <w:sz w:val="28"/>
          <w:szCs w:val="28"/>
          <w:lang w:val="uk-UA"/>
        </w:rPr>
      </w:pPr>
    </w:p>
    <w:p w:rsidR="00473231" w:rsidRDefault="00473231" w:rsidP="00473231">
      <w:pPr>
        <w:widowControl w:val="0"/>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Судини мікроциркуляторного русла, перш за все артеріоли, спазмовані внаслідок рефлекторної вазоконстрикції, що є характерним для гострого періоду церебрального крововиливу (особливо САК), наявний добре виражений перивазальний набряк.</w:t>
      </w:r>
    </w:p>
    <w:p w:rsidR="00473231" w:rsidRDefault="00473231" w:rsidP="00473231">
      <w:pPr>
        <w:widowControl w:val="0"/>
        <w:shd w:val="clear" w:color="auto" w:fill="FFFFFF"/>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При оцінці нейрональнихпатоморфологічних змін на 4-ту добу інсульту (</w:t>
      </w:r>
      <w:r>
        <w:rPr>
          <w:rFonts w:ascii="Times New Roman" w:hAnsi="Times New Roman"/>
          <w:sz w:val="28"/>
          <w:szCs w:val="28"/>
          <w:lang w:val="uk-UA"/>
        </w:rPr>
        <w:t>рис</w:t>
      </w:r>
      <w:r w:rsidRPr="00FD6349">
        <w:rPr>
          <w:rFonts w:ascii="Times New Roman" w:hAnsi="Times New Roman"/>
          <w:sz w:val="28"/>
          <w:szCs w:val="28"/>
          <w:lang w:val="uk-UA"/>
        </w:rPr>
        <w:t>. 5.</w:t>
      </w:r>
      <w:r>
        <w:rPr>
          <w:rFonts w:ascii="Times New Roman" w:hAnsi="Times New Roman"/>
          <w:sz w:val="28"/>
          <w:szCs w:val="28"/>
          <w:lang w:val="uk-UA"/>
        </w:rPr>
        <w:t>6</w:t>
      </w:r>
      <w:r w:rsidRPr="00FD6349">
        <w:rPr>
          <w:rFonts w:ascii="Times New Roman" w:hAnsi="Times New Roman"/>
          <w:sz w:val="28"/>
          <w:szCs w:val="28"/>
          <w:lang w:val="uk-UA"/>
        </w:rPr>
        <w:t xml:space="preserve"> Б та В), помітна генералізована (при ВМК) деструкція, яка за умов САК набуває експансивний характер.</w:t>
      </w:r>
    </w:p>
    <w:p w:rsidR="001F0A71" w:rsidRPr="00FD6349" w:rsidRDefault="001F0A71" w:rsidP="0069152C">
      <w:pPr>
        <w:widowControl w:val="0"/>
        <w:shd w:val="clear" w:color="auto" w:fill="FFFFFF"/>
        <w:spacing w:after="0" w:line="360" w:lineRule="auto"/>
        <w:ind w:firstLine="284"/>
        <w:jc w:val="both"/>
        <w:rPr>
          <w:rFonts w:ascii="Times New Roman" w:hAnsi="Times New Roman"/>
          <w:sz w:val="28"/>
          <w:szCs w:val="28"/>
          <w:lang w:val="uk-UA"/>
        </w:rPr>
      </w:pPr>
    </w:p>
    <w:tbl>
      <w:tblPr>
        <w:tblW w:w="9356" w:type="dxa"/>
        <w:tblInd w:w="108" w:type="dxa"/>
        <w:tblLayout w:type="fixed"/>
        <w:tblLook w:val="01E0"/>
      </w:tblPr>
      <w:tblGrid>
        <w:gridCol w:w="4820"/>
        <w:gridCol w:w="4536"/>
      </w:tblGrid>
      <w:tr w:rsidR="001F0A71" w:rsidRPr="00FD6349" w:rsidTr="001F0A71">
        <w:trPr>
          <w:trHeight w:val="454"/>
        </w:trPr>
        <w:tc>
          <w:tcPr>
            <w:tcW w:w="4820" w:type="dxa"/>
            <w:shd w:val="clear" w:color="auto" w:fill="auto"/>
          </w:tcPr>
          <w:p w:rsidR="001F0A71" w:rsidRPr="00FD6349" w:rsidRDefault="005D0FB9" w:rsidP="001F0A71">
            <w:pPr>
              <w:widowControl w:val="0"/>
              <w:spacing w:after="0" w:line="360" w:lineRule="auto"/>
              <w:ind w:firstLine="284"/>
              <w:jc w:val="center"/>
              <w:rPr>
                <w:rFonts w:ascii="Times New Roman" w:hAnsi="Times New Roman"/>
                <w:sz w:val="28"/>
                <w:szCs w:val="28"/>
                <w:lang w:val="uk-UA"/>
              </w:rPr>
            </w:pPr>
            <w:r>
              <w:rPr>
                <w:noProof/>
              </w:rPr>
              <w:drawing>
                <wp:inline distT="0" distB="0" distL="0" distR="0">
                  <wp:extent cx="2143125" cy="1828800"/>
                  <wp:effectExtent l="0" t="0" r="9525"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1828800"/>
                          </a:xfrm>
                          <a:prstGeom prst="rect">
                            <a:avLst/>
                          </a:prstGeom>
                          <a:noFill/>
                          <a:ln>
                            <a:noFill/>
                          </a:ln>
                        </pic:spPr>
                      </pic:pic>
                    </a:graphicData>
                  </a:graphic>
                </wp:inline>
              </w:drawing>
            </w:r>
          </w:p>
        </w:tc>
        <w:tc>
          <w:tcPr>
            <w:tcW w:w="4536" w:type="dxa"/>
            <w:shd w:val="clear" w:color="auto" w:fill="auto"/>
          </w:tcPr>
          <w:p w:rsidR="001F0A71" w:rsidRPr="00FD6349" w:rsidRDefault="005D0FB9" w:rsidP="001F0A71">
            <w:pPr>
              <w:widowControl w:val="0"/>
              <w:spacing w:after="0" w:line="360" w:lineRule="auto"/>
              <w:ind w:firstLine="284"/>
              <w:jc w:val="center"/>
              <w:rPr>
                <w:rFonts w:ascii="Times New Roman" w:hAnsi="Times New Roman"/>
                <w:sz w:val="28"/>
                <w:szCs w:val="28"/>
                <w:lang w:val="uk-UA"/>
              </w:rPr>
            </w:pPr>
            <w:r>
              <w:rPr>
                <w:noProof/>
              </w:rPr>
              <w:drawing>
                <wp:inline distT="0" distB="0" distL="0" distR="0">
                  <wp:extent cx="2162175" cy="1828800"/>
                  <wp:effectExtent l="0" t="0" r="9525"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1828800"/>
                          </a:xfrm>
                          <a:prstGeom prst="rect">
                            <a:avLst/>
                          </a:prstGeom>
                          <a:noFill/>
                          <a:ln>
                            <a:noFill/>
                          </a:ln>
                        </pic:spPr>
                      </pic:pic>
                    </a:graphicData>
                  </a:graphic>
                </wp:inline>
              </w:drawing>
            </w:r>
          </w:p>
        </w:tc>
      </w:tr>
      <w:tr w:rsidR="001F0A71" w:rsidRPr="00FD6349" w:rsidTr="001F0A71">
        <w:trPr>
          <w:trHeight w:val="344"/>
        </w:trPr>
        <w:tc>
          <w:tcPr>
            <w:tcW w:w="9356" w:type="dxa"/>
            <w:gridSpan w:val="2"/>
            <w:shd w:val="clear" w:color="auto" w:fill="auto"/>
          </w:tcPr>
          <w:p w:rsidR="001F0A71" w:rsidRPr="00FD6349" w:rsidRDefault="001F0A71" w:rsidP="001F0A71">
            <w:pPr>
              <w:widowControl w:val="0"/>
              <w:spacing w:after="0" w:line="240" w:lineRule="auto"/>
              <w:ind w:firstLine="284"/>
              <w:jc w:val="center"/>
              <w:rPr>
                <w:szCs w:val="28"/>
                <w:lang w:val="uk-UA"/>
              </w:rPr>
            </w:pPr>
            <w:r w:rsidRPr="00FD6349">
              <w:rPr>
                <w:rFonts w:ascii="Times New Roman" w:hAnsi="Times New Roman"/>
                <w:sz w:val="28"/>
                <w:szCs w:val="28"/>
                <w:lang w:val="uk-UA"/>
              </w:rPr>
              <w:t>А.</w:t>
            </w:r>
          </w:p>
        </w:tc>
      </w:tr>
      <w:tr w:rsidR="001F0A71" w:rsidRPr="00FD6349" w:rsidTr="001F0A71">
        <w:trPr>
          <w:trHeight w:val="3216"/>
        </w:trPr>
        <w:tc>
          <w:tcPr>
            <w:tcW w:w="4820" w:type="dxa"/>
            <w:shd w:val="clear" w:color="auto" w:fill="auto"/>
          </w:tcPr>
          <w:p w:rsidR="001F0A71" w:rsidRPr="00FD6349" w:rsidRDefault="005D0FB9" w:rsidP="001F0A71">
            <w:pPr>
              <w:pStyle w:val="13"/>
              <w:widowControl w:val="0"/>
              <w:spacing w:line="360" w:lineRule="auto"/>
              <w:ind w:firstLine="284"/>
              <w:jc w:val="center"/>
              <w:rPr>
                <w:szCs w:val="28"/>
              </w:rPr>
            </w:pPr>
            <w:r>
              <w:rPr>
                <w:noProof/>
                <w:lang w:val="ru-RU" w:eastAsia="ru-RU"/>
              </w:rPr>
              <w:lastRenderedPageBreak/>
              <w:drawing>
                <wp:inline distT="0" distB="0" distL="0" distR="0">
                  <wp:extent cx="2200275" cy="1828800"/>
                  <wp:effectExtent l="0" t="0" r="9525" b="0"/>
                  <wp:docPr id="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275" cy="1828800"/>
                          </a:xfrm>
                          <a:prstGeom prst="rect">
                            <a:avLst/>
                          </a:prstGeom>
                          <a:noFill/>
                          <a:ln>
                            <a:noFill/>
                          </a:ln>
                        </pic:spPr>
                      </pic:pic>
                    </a:graphicData>
                  </a:graphic>
                </wp:inline>
              </w:drawing>
            </w:r>
          </w:p>
        </w:tc>
        <w:tc>
          <w:tcPr>
            <w:tcW w:w="4536" w:type="dxa"/>
            <w:shd w:val="clear" w:color="auto" w:fill="auto"/>
          </w:tcPr>
          <w:p w:rsidR="001F0A71" w:rsidRPr="00FD6349" w:rsidRDefault="005D0FB9" w:rsidP="001F0A71">
            <w:pPr>
              <w:pStyle w:val="13"/>
              <w:widowControl w:val="0"/>
              <w:spacing w:line="360" w:lineRule="auto"/>
              <w:ind w:firstLine="284"/>
              <w:jc w:val="center"/>
              <w:rPr>
                <w:szCs w:val="28"/>
              </w:rPr>
            </w:pPr>
            <w:r>
              <w:rPr>
                <w:noProof/>
                <w:lang w:val="ru-RU" w:eastAsia="ru-RU"/>
              </w:rPr>
              <w:drawing>
                <wp:inline distT="0" distB="0" distL="0" distR="0">
                  <wp:extent cx="2162175" cy="1828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1828800"/>
                          </a:xfrm>
                          <a:prstGeom prst="rect">
                            <a:avLst/>
                          </a:prstGeom>
                          <a:noFill/>
                          <a:ln>
                            <a:noFill/>
                          </a:ln>
                        </pic:spPr>
                      </pic:pic>
                    </a:graphicData>
                  </a:graphic>
                </wp:inline>
              </w:drawing>
            </w:r>
          </w:p>
        </w:tc>
      </w:tr>
      <w:tr w:rsidR="001F0A71" w:rsidRPr="00FD6349" w:rsidTr="001F0A71">
        <w:trPr>
          <w:trHeight w:val="363"/>
        </w:trPr>
        <w:tc>
          <w:tcPr>
            <w:tcW w:w="9356" w:type="dxa"/>
            <w:gridSpan w:val="2"/>
            <w:shd w:val="clear" w:color="auto" w:fill="auto"/>
          </w:tcPr>
          <w:p w:rsidR="001F0A71" w:rsidRPr="00FD6349" w:rsidRDefault="001F0A71" w:rsidP="001F0A71">
            <w:pPr>
              <w:pStyle w:val="13"/>
              <w:widowControl w:val="0"/>
              <w:ind w:firstLine="284"/>
              <w:jc w:val="center"/>
              <w:rPr>
                <w:noProof/>
              </w:rPr>
            </w:pPr>
            <w:r w:rsidRPr="00FD6349">
              <w:rPr>
                <w:szCs w:val="28"/>
              </w:rPr>
              <w:t>Б.</w:t>
            </w:r>
          </w:p>
        </w:tc>
      </w:tr>
      <w:tr w:rsidR="001F0A71" w:rsidRPr="00FD6349" w:rsidTr="001F0A71">
        <w:trPr>
          <w:trHeight w:val="3159"/>
        </w:trPr>
        <w:tc>
          <w:tcPr>
            <w:tcW w:w="4820" w:type="dxa"/>
            <w:shd w:val="clear" w:color="auto" w:fill="auto"/>
          </w:tcPr>
          <w:p w:rsidR="001F0A71" w:rsidRPr="00FD6349" w:rsidRDefault="005D0FB9" w:rsidP="001F0A71">
            <w:pPr>
              <w:pStyle w:val="13"/>
              <w:widowControl w:val="0"/>
              <w:spacing w:line="360" w:lineRule="auto"/>
              <w:ind w:firstLine="284"/>
              <w:jc w:val="center"/>
              <w:rPr>
                <w:noProof/>
              </w:rPr>
            </w:pPr>
            <w:r>
              <w:rPr>
                <w:noProof/>
                <w:lang w:val="ru-RU" w:eastAsia="ru-RU"/>
              </w:rPr>
              <w:drawing>
                <wp:inline distT="0" distB="0" distL="0" distR="0">
                  <wp:extent cx="2200275" cy="1828800"/>
                  <wp:effectExtent l="0" t="0" r="9525" b="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275" cy="1828800"/>
                          </a:xfrm>
                          <a:prstGeom prst="rect">
                            <a:avLst/>
                          </a:prstGeom>
                          <a:noFill/>
                          <a:ln>
                            <a:noFill/>
                          </a:ln>
                        </pic:spPr>
                      </pic:pic>
                    </a:graphicData>
                  </a:graphic>
                </wp:inline>
              </w:drawing>
            </w:r>
          </w:p>
        </w:tc>
        <w:tc>
          <w:tcPr>
            <w:tcW w:w="4536" w:type="dxa"/>
            <w:shd w:val="clear" w:color="auto" w:fill="auto"/>
          </w:tcPr>
          <w:p w:rsidR="001F0A71" w:rsidRPr="00FD6349" w:rsidRDefault="005D0FB9" w:rsidP="001F0A71">
            <w:pPr>
              <w:pStyle w:val="13"/>
              <w:widowControl w:val="0"/>
              <w:spacing w:line="360" w:lineRule="auto"/>
              <w:ind w:firstLine="284"/>
              <w:jc w:val="center"/>
              <w:rPr>
                <w:noProof/>
              </w:rPr>
            </w:pPr>
            <w:r>
              <w:rPr>
                <w:noProof/>
                <w:lang w:val="ru-RU" w:eastAsia="ru-RU"/>
              </w:rPr>
              <w:drawing>
                <wp:inline distT="0" distB="0" distL="0" distR="0">
                  <wp:extent cx="2200275" cy="1828800"/>
                  <wp:effectExtent l="0" t="0" r="9525" b="0"/>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275" cy="1828800"/>
                          </a:xfrm>
                          <a:prstGeom prst="rect">
                            <a:avLst/>
                          </a:prstGeom>
                          <a:noFill/>
                          <a:ln>
                            <a:noFill/>
                          </a:ln>
                        </pic:spPr>
                      </pic:pic>
                    </a:graphicData>
                  </a:graphic>
                </wp:inline>
              </w:drawing>
            </w:r>
          </w:p>
        </w:tc>
      </w:tr>
      <w:tr w:rsidR="001F0A71" w:rsidRPr="00FD6349" w:rsidTr="001F0A71">
        <w:trPr>
          <w:trHeight w:val="231"/>
        </w:trPr>
        <w:tc>
          <w:tcPr>
            <w:tcW w:w="9356" w:type="dxa"/>
            <w:gridSpan w:val="2"/>
            <w:shd w:val="clear" w:color="auto" w:fill="auto"/>
          </w:tcPr>
          <w:p w:rsidR="001F0A71" w:rsidRPr="00FD6349" w:rsidRDefault="001F0A71" w:rsidP="001F0A71">
            <w:pPr>
              <w:pStyle w:val="13"/>
              <w:widowControl w:val="0"/>
              <w:spacing w:line="360" w:lineRule="auto"/>
              <w:ind w:firstLine="284"/>
              <w:jc w:val="center"/>
              <w:rPr>
                <w:noProof/>
              </w:rPr>
            </w:pPr>
            <w:r w:rsidRPr="00FD6349">
              <w:rPr>
                <w:noProof/>
              </w:rPr>
              <w:t>В.</w:t>
            </w:r>
          </w:p>
        </w:tc>
      </w:tr>
    </w:tbl>
    <w:p w:rsidR="001F0A71" w:rsidRDefault="001F0A71" w:rsidP="001F0A71">
      <w:pPr>
        <w:widowControl w:val="0"/>
        <w:shd w:val="clear" w:color="auto" w:fill="FFFFFF"/>
        <w:spacing w:after="0" w:line="360" w:lineRule="auto"/>
        <w:ind w:firstLine="284"/>
        <w:jc w:val="both"/>
        <w:rPr>
          <w:rFonts w:ascii="Times New Roman" w:hAnsi="Times New Roman"/>
          <w:sz w:val="28"/>
          <w:szCs w:val="28"/>
          <w:lang w:val="uk-UA"/>
        </w:rPr>
      </w:pPr>
    </w:p>
    <w:p w:rsidR="001F0A71" w:rsidRPr="00FD6349" w:rsidRDefault="001F0A71" w:rsidP="00986762">
      <w:pPr>
        <w:widowControl w:val="0"/>
        <w:shd w:val="clear" w:color="auto" w:fill="FFFFFF"/>
        <w:spacing w:after="0" w:line="240" w:lineRule="auto"/>
        <w:ind w:left="1560" w:hanging="1276"/>
        <w:jc w:val="both"/>
        <w:rPr>
          <w:rFonts w:ascii="Times New Roman" w:hAnsi="Times New Roman"/>
          <w:sz w:val="28"/>
          <w:szCs w:val="28"/>
          <w:lang w:val="uk-UA"/>
        </w:rPr>
      </w:pPr>
      <w:r>
        <w:rPr>
          <w:rFonts w:ascii="Times New Roman" w:hAnsi="Times New Roman"/>
          <w:sz w:val="28"/>
          <w:szCs w:val="28"/>
          <w:lang w:val="uk-UA"/>
        </w:rPr>
        <w:t>Рис.</w:t>
      </w:r>
      <w:r w:rsidRPr="00FD6349">
        <w:rPr>
          <w:rFonts w:ascii="Times New Roman" w:hAnsi="Times New Roman"/>
          <w:sz w:val="28"/>
          <w:szCs w:val="28"/>
          <w:lang w:val="uk-UA"/>
        </w:rPr>
        <w:t xml:space="preserve"> 5.</w:t>
      </w:r>
      <w:r>
        <w:rPr>
          <w:rFonts w:ascii="Times New Roman" w:hAnsi="Times New Roman"/>
          <w:sz w:val="28"/>
          <w:szCs w:val="28"/>
          <w:lang w:val="uk-UA"/>
        </w:rPr>
        <w:t>6</w:t>
      </w:r>
      <w:r w:rsidRPr="00FD6349">
        <w:rPr>
          <w:rFonts w:ascii="Times New Roman" w:hAnsi="Times New Roman"/>
          <w:sz w:val="28"/>
          <w:szCs w:val="28"/>
          <w:lang w:val="uk-UA"/>
        </w:rPr>
        <w:t>. Фрагмент мікропрепарату мозку щурів (власні дані). Забарвлення гематоксилін-еозин. (А) Окуляр х40. Об’єктив х10; (Б та В) Окуляр х10. Об’єктив х10</w:t>
      </w:r>
      <w:r>
        <w:rPr>
          <w:rFonts w:ascii="Times New Roman" w:hAnsi="Times New Roman"/>
          <w:sz w:val="28"/>
          <w:szCs w:val="28"/>
          <w:lang w:val="uk-UA"/>
        </w:rPr>
        <w:t>, де</w:t>
      </w:r>
      <w:r w:rsidRPr="00FD6349">
        <w:rPr>
          <w:rFonts w:ascii="Times New Roman" w:hAnsi="Times New Roman"/>
          <w:sz w:val="28"/>
          <w:szCs w:val="28"/>
          <w:lang w:val="uk-UA"/>
        </w:rPr>
        <w:t>: 1 – речовина мозку; 2 – субарахноїдальний простір; 3 – артеріола; 4 – венула; 5– форменні елементи; 6 – нейрони (а -тіло; б – відростки аксони та дендрити; в – ядра); 7 – рідка кров</w:t>
      </w:r>
    </w:p>
    <w:p w:rsidR="001F0A71" w:rsidRDefault="001F0A71" w:rsidP="0069152C">
      <w:pPr>
        <w:widowControl w:val="0"/>
        <w:spacing w:after="0" w:line="360" w:lineRule="auto"/>
        <w:ind w:firstLine="284"/>
        <w:jc w:val="both"/>
        <w:rPr>
          <w:rFonts w:ascii="Times New Roman" w:hAnsi="Times New Roman"/>
          <w:sz w:val="28"/>
          <w:szCs w:val="28"/>
          <w:lang w:val="uk-UA"/>
        </w:rPr>
      </w:pPr>
    </w:p>
    <w:p w:rsidR="001F0A71" w:rsidRPr="00FD6349" w:rsidRDefault="001F0A71" w:rsidP="0069152C">
      <w:pPr>
        <w:widowControl w:val="0"/>
        <w:tabs>
          <w:tab w:val="left" w:pos="1276"/>
          <w:tab w:val="left" w:pos="1701"/>
        </w:tabs>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Тіла нейронів, котрі задіян</w:t>
      </w:r>
      <w:r>
        <w:rPr>
          <w:rFonts w:ascii="Times New Roman" w:hAnsi="Times New Roman"/>
          <w:sz w:val="28"/>
          <w:szCs w:val="28"/>
          <w:lang w:val="uk-UA"/>
        </w:rPr>
        <w:t>і</w:t>
      </w:r>
      <w:r w:rsidRPr="00FD6349">
        <w:rPr>
          <w:rFonts w:ascii="Times New Roman" w:hAnsi="Times New Roman"/>
          <w:sz w:val="28"/>
          <w:szCs w:val="28"/>
          <w:lang w:val="uk-UA"/>
        </w:rPr>
        <w:t xml:space="preserve"> у цих процесах візуалізуються нечітко, втрачають ядра, відростки, а ядерця знаходяться в цитозолі. Помітні ознаки набряку-набухання. Так набряк обмежений навколоклітинним простором і на мікропрепараті виглядає як просвітлення, а явище набухання відбувається в самій клітині, за рахунок чого вона приймає округлу форму. </w:t>
      </w:r>
    </w:p>
    <w:p w:rsidR="001F0A71" w:rsidRDefault="001F0A71" w:rsidP="0069152C">
      <w:pPr>
        <w:widowControl w:val="0"/>
        <w:tabs>
          <w:tab w:val="left" w:pos="1276"/>
          <w:tab w:val="left" w:pos="1701"/>
        </w:tabs>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Терапія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D6349">
        <w:rPr>
          <w:rFonts w:ascii="Times New Roman" w:hAnsi="Times New Roman"/>
          <w:sz w:val="28"/>
          <w:szCs w:val="28"/>
          <w:lang w:val="uk-UA"/>
        </w:rPr>
        <w:t>, як адемол</w:t>
      </w:r>
      <w:r>
        <w:rPr>
          <w:rFonts w:ascii="Times New Roman" w:hAnsi="Times New Roman"/>
          <w:sz w:val="28"/>
          <w:szCs w:val="28"/>
          <w:lang w:val="uk-UA"/>
        </w:rPr>
        <w:t>ом так і препаратом порівняння німодип</w:t>
      </w:r>
      <w:r w:rsidRPr="00FD6349">
        <w:rPr>
          <w:rFonts w:ascii="Times New Roman" w:hAnsi="Times New Roman"/>
          <w:sz w:val="28"/>
          <w:szCs w:val="28"/>
          <w:lang w:val="uk-UA"/>
        </w:rPr>
        <w:t xml:space="preserve">іном, амортизувало деструктивно-дегенеративні явища </w:t>
      </w:r>
      <w:r>
        <w:rPr>
          <w:rFonts w:ascii="Times New Roman" w:hAnsi="Times New Roman"/>
          <w:sz w:val="28"/>
          <w:szCs w:val="28"/>
          <w:lang w:val="uk-UA"/>
        </w:rPr>
        <w:t>рис</w:t>
      </w:r>
      <w:r w:rsidRPr="00FD6349">
        <w:rPr>
          <w:rFonts w:ascii="Times New Roman" w:hAnsi="Times New Roman"/>
          <w:sz w:val="28"/>
          <w:szCs w:val="28"/>
          <w:lang w:val="uk-UA"/>
        </w:rPr>
        <w:t>. 5.</w:t>
      </w:r>
      <w:r>
        <w:rPr>
          <w:rFonts w:ascii="Times New Roman" w:hAnsi="Times New Roman"/>
          <w:sz w:val="28"/>
          <w:szCs w:val="28"/>
          <w:lang w:val="uk-UA"/>
        </w:rPr>
        <w:t>7</w:t>
      </w:r>
      <w:r w:rsidRPr="00FD6349">
        <w:rPr>
          <w:rFonts w:ascii="Times New Roman" w:hAnsi="Times New Roman"/>
          <w:sz w:val="28"/>
          <w:szCs w:val="28"/>
          <w:lang w:val="uk-UA"/>
        </w:rPr>
        <w:t xml:space="preserve"> та 5.</w:t>
      </w:r>
      <w:r>
        <w:rPr>
          <w:rFonts w:ascii="Times New Roman" w:hAnsi="Times New Roman"/>
          <w:sz w:val="28"/>
          <w:szCs w:val="28"/>
          <w:lang w:val="uk-UA"/>
        </w:rPr>
        <w:t>8</w:t>
      </w:r>
      <w:r w:rsidRPr="00FD6349">
        <w:rPr>
          <w:rFonts w:ascii="Times New Roman" w:hAnsi="Times New Roman"/>
          <w:sz w:val="28"/>
          <w:szCs w:val="28"/>
          <w:lang w:val="uk-UA"/>
        </w:rPr>
        <w:t xml:space="preserve">). </w:t>
      </w:r>
    </w:p>
    <w:p w:rsidR="001F0A71" w:rsidRPr="00FD6349" w:rsidRDefault="001F0A71" w:rsidP="001F0A71">
      <w:pPr>
        <w:widowControl w:val="0"/>
        <w:tabs>
          <w:tab w:val="left" w:pos="1276"/>
          <w:tab w:val="left" w:pos="1701"/>
        </w:tabs>
        <w:spacing w:after="0" w:line="360" w:lineRule="auto"/>
        <w:ind w:firstLine="284"/>
        <w:jc w:val="both"/>
        <w:rPr>
          <w:rFonts w:ascii="Times New Roman" w:hAnsi="Times New Roman"/>
          <w:sz w:val="28"/>
          <w:szCs w:val="28"/>
          <w:lang w:val="uk-UA"/>
        </w:rPr>
      </w:pPr>
    </w:p>
    <w:tbl>
      <w:tblPr>
        <w:tblW w:w="9356" w:type="dxa"/>
        <w:tblInd w:w="108" w:type="dxa"/>
        <w:tblLayout w:type="fixed"/>
        <w:tblLook w:val="01E0"/>
      </w:tblPr>
      <w:tblGrid>
        <w:gridCol w:w="4820"/>
        <w:gridCol w:w="4536"/>
      </w:tblGrid>
      <w:tr w:rsidR="001F0A71" w:rsidRPr="00FD6349" w:rsidTr="001F0A71">
        <w:trPr>
          <w:trHeight w:val="454"/>
        </w:trPr>
        <w:tc>
          <w:tcPr>
            <w:tcW w:w="4820" w:type="dxa"/>
            <w:shd w:val="clear" w:color="auto" w:fill="auto"/>
          </w:tcPr>
          <w:p w:rsidR="001F0A71" w:rsidRPr="00FD6349" w:rsidRDefault="005D0FB9" w:rsidP="001F0A71">
            <w:pPr>
              <w:widowControl w:val="0"/>
              <w:spacing w:after="0" w:line="360" w:lineRule="auto"/>
              <w:ind w:firstLine="284"/>
              <w:jc w:val="center"/>
              <w:rPr>
                <w:rFonts w:ascii="Times New Roman" w:hAnsi="Times New Roman"/>
                <w:sz w:val="28"/>
                <w:szCs w:val="28"/>
                <w:lang w:val="uk-UA"/>
              </w:rPr>
            </w:pPr>
            <w:r>
              <w:rPr>
                <w:noProof/>
              </w:rPr>
              <w:lastRenderedPageBreak/>
              <w:drawing>
                <wp:inline distT="0" distB="0" distL="0" distR="0">
                  <wp:extent cx="2200275" cy="1828800"/>
                  <wp:effectExtent l="0" t="0" r="9525" b="0"/>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275" cy="1828800"/>
                          </a:xfrm>
                          <a:prstGeom prst="rect">
                            <a:avLst/>
                          </a:prstGeom>
                          <a:noFill/>
                          <a:ln>
                            <a:noFill/>
                          </a:ln>
                        </pic:spPr>
                      </pic:pic>
                    </a:graphicData>
                  </a:graphic>
                </wp:inline>
              </w:drawing>
            </w:r>
          </w:p>
        </w:tc>
        <w:tc>
          <w:tcPr>
            <w:tcW w:w="4536" w:type="dxa"/>
            <w:shd w:val="clear" w:color="auto" w:fill="auto"/>
          </w:tcPr>
          <w:p w:rsidR="001F0A71" w:rsidRPr="00FD6349" w:rsidRDefault="005D0FB9" w:rsidP="001F0A71">
            <w:pPr>
              <w:widowControl w:val="0"/>
              <w:spacing w:after="0" w:line="360" w:lineRule="auto"/>
              <w:ind w:firstLine="284"/>
              <w:jc w:val="center"/>
              <w:rPr>
                <w:rFonts w:ascii="Times New Roman" w:hAnsi="Times New Roman"/>
                <w:sz w:val="28"/>
                <w:szCs w:val="28"/>
                <w:lang w:val="uk-UA"/>
              </w:rPr>
            </w:pPr>
            <w:r>
              <w:rPr>
                <w:noProof/>
              </w:rPr>
              <w:drawing>
                <wp:inline distT="0" distB="0" distL="0" distR="0">
                  <wp:extent cx="2162175" cy="1828800"/>
                  <wp:effectExtent l="0" t="0" r="9525"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1828800"/>
                          </a:xfrm>
                          <a:prstGeom prst="rect">
                            <a:avLst/>
                          </a:prstGeom>
                          <a:noFill/>
                          <a:ln>
                            <a:noFill/>
                          </a:ln>
                        </pic:spPr>
                      </pic:pic>
                    </a:graphicData>
                  </a:graphic>
                </wp:inline>
              </w:drawing>
            </w:r>
          </w:p>
        </w:tc>
      </w:tr>
      <w:tr w:rsidR="001F0A71" w:rsidRPr="00FD6349" w:rsidTr="001F0A71">
        <w:trPr>
          <w:trHeight w:val="372"/>
        </w:trPr>
        <w:tc>
          <w:tcPr>
            <w:tcW w:w="9356" w:type="dxa"/>
            <w:gridSpan w:val="2"/>
            <w:shd w:val="clear" w:color="auto" w:fill="auto"/>
          </w:tcPr>
          <w:p w:rsidR="001F0A71" w:rsidRPr="00FD6349" w:rsidRDefault="001F0A71" w:rsidP="001F0A71">
            <w:pPr>
              <w:widowControl w:val="0"/>
              <w:spacing w:after="0" w:line="240" w:lineRule="auto"/>
              <w:ind w:firstLine="284"/>
              <w:jc w:val="center"/>
              <w:rPr>
                <w:szCs w:val="28"/>
                <w:lang w:val="uk-UA"/>
              </w:rPr>
            </w:pPr>
            <w:r w:rsidRPr="00FD6349">
              <w:rPr>
                <w:rFonts w:ascii="Times New Roman" w:hAnsi="Times New Roman"/>
                <w:sz w:val="28"/>
                <w:szCs w:val="28"/>
                <w:lang w:val="uk-UA"/>
              </w:rPr>
              <w:t>А.</w:t>
            </w:r>
          </w:p>
        </w:tc>
      </w:tr>
      <w:tr w:rsidR="001F0A71" w:rsidRPr="00FD6349" w:rsidTr="001F0A71">
        <w:trPr>
          <w:trHeight w:val="3216"/>
        </w:trPr>
        <w:tc>
          <w:tcPr>
            <w:tcW w:w="4820" w:type="dxa"/>
            <w:shd w:val="clear" w:color="auto" w:fill="auto"/>
          </w:tcPr>
          <w:p w:rsidR="001F0A71" w:rsidRPr="00FD6349" w:rsidRDefault="005D0FB9" w:rsidP="001F0A71">
            <w:pPr>
              <w:pStyle w:val="13"/>
              <w:widowControl w:val="0"/>
              <w:spacing w:line="360" w:lineRule="auto"/>
              <w:ind w:firstLine="284"/>
              <w:jc w:val="center"/>
              <w:rPr>
                <w:szCs w:val="28"/>
              </w:rPr>
            </w:pPr>
            <w:r>
              <w:rPr>
                <w:noProof/>
                <w:lang w:val="ru-RU" w:eastAsia="ru-RU"/>
              </w:rPr>
              <w:drawing>
                <wp:inline distT="0" distB="0" distL="0" distR="0">
                  <wp:extent cx="2200275" cy="18288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275" cy="1828800"/>
                          </a:xfrm>
                          <a:prstGeom prst="rect">
                            <a:avLst/>
                          </a:prstGeom>
                          <a:noFill/>
                          <a:ln>
                            <a:noFill/>
                          </a:ln>
                        </pic:spPr>
                      </pic:pic>
                    </a:graphicData>
                  </a:graphic>
                </wp:inline>
              </w:drawing>
            </w:r>
          </w:p>
        </w:tc>
        <w:tc>
          <w:tcPr>
            <w:tcW w:w="4536" w:type="dxa"/>
            <w:shd w:val="clear" w:color="auto" w:fill="auto"/>
          </w:tcPr>
          <w:p w:rsidR="001F0A71" w:rsidRPr="00FD6349" w:rsidRDefault="005D0FB9" w:rsidP="001F0A71">
            <w:pPr>
              <w:pStyle w:val="13"/>
              <w:widowControl w:val="0"/>
              <w:spacing w:line="360" w:lineRule="auto"/>
              <w:ind w:firstLine="284"/>
              <w:jc w:val="center"/>
              <w:rPr>
                <w:szCs w:val="28"/>
              </w:rPr>
            </w:pPr>
            <w:r>
              <w:rPr>
                <w:noProof/>
                <w:lang w:val="ru-RU" w:eastAsia="ru-RU"/>
              </w:rPr>
              <w:drawing>
                <wp:inline distT="0" distB="0" distL="0" distR="0">
                  <wp:extent cx="2171700" cy="1828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1828800"/>
                          </a:xfrm>
                          <a:prstGeom prst="rect">
                            <a:avLst/>
                          </a:prstGeom>
                          <a:noFill/>
                          <a:ln>
                            <a:noFill/>
                          </a:ln>
                        </pic:spPr>
                      </pic:pic>
                    </a:graphicData>
                  </a:graphic>
                </wp:inline>
              </w:drawing>
            </w:r>
          </w:p>
        </w:tc>
      </w:tr>
      <w:tr w:rsidR="001F0A71" w:rsidRPr="00FD6349" w:rsidTr="001F0A71">
        <w:trPr>
          <w:trHeight w:val="309"/>
        </w:trPr>
        <w:tc>
          <w:tcPr>
            <w:tcW w:w="9356" w:type="dxa"/>
            <w:gridSpan w:val="2"/>
            <w:shd w:val="clear" w:color="auto" w:fill="auto"/>
          </w:tcPr>
          <w:p w:rsidR="001F0A71" w:rsidRPr="00FD6349" w:rsidRDefault="001F0A71" w:rsidP="001F0A71">
            <w:pPr>
              <w:pStyle w:val="13"/>
              <w:widowControl w:val="0"/>
              <w:ind w:firstLine="284"/>
              <w:jc w:val="center"/>
              <w:rPr>
                <w:noProof/>
              </w:rPr>
            </w:pPr>
            <w:r>
              <w:rPr>
                <w:szCs w:val="28"/>
                <w:lang w:val="ru-RU"/>
              </w:rPr>
              <w:t>Б</w:t>
            </w:r>
            <w:r w:rsidRPr="00FD6349">
              <w:rPr>
                <w:szCs w:val="28"/>
              </w:rPr>
              <w:t>.</w:t>
            </w:r>
          </w:p>
        </w:tc>
      </w:tr>
    </w:tbl>
    <w:p w:rsidR="001F0A71" w:rsidRDefault="001F0A71" w:rsidP="0069152C">
      <w:pPr>
        <w:widowControl w:val="0"/>
        <w:tabs>
          <w:tab w:val="left" w:pos="1276"/>
          <w:tab w:val="left" w:pos="1701"/>
        </w:tabs>
        <w:spacing w:after="0" w:line="360" w:lineRule="auto"/>
        <w:ind w:firstLine="284"/>
        <w:jc w:val="both"/>
        <w:rPr>
          <w:rFonts w:ascii="Times New Roman" w:hAnsi="Times New Roman"/>
          <w:sz w:val="28"/>
          <w:szCs w:val="28"/>
          <w:lang w:val="uk-UA"/>
        </w:rPr>
      </w:pPr>
    </w:p>
    <w:p w:rsidR="001F0A71" w:rsidRPr="00FD6349" w:rsidRDefault="001F0A71" w:rsidP="00986762">
      <w:pPr>
        <w:widowControl w:val="0"/>
        <w:tabs>
          <w:tab w:val="left" w:pos="1276"/>
          <w:tab w:val="left" w:pos="1701"/>
        </w:tabs>
        <w:spacing w:after="0" w:line="240" w:lineRule="auto"/>
        <w:ind w:left="1560" w:hanging="1276"/>
        <w:jc w:val="both"/>
        <w:rPr>
          <w:rFonts w:ascii="Times New Roman" w:hAnsi="Times New Roman"/>
          <w:sz w:val="28"/>
          <w:szCs w:val="28"/>
          <w:lang w:val="uk-UA"/>
        </w:rPr>
      </w:pPr>
      <w:r>
        <w:rPr>
          <w:rFonts w:ascii="Times New Roman" w:hAnsi="Times New Roman"/>
          <w:sz w:val="28"/>
          <w:szCs w:val="28"/>
          <w:lang w:val="uk-UA"/>
        </w:rPr>
        <w:t>Рис.</w:t>
      </w:r>
      <w:r w:rsidRPr="00FD6349">
        <w:rPr>
          <w:rFonts w:ascii="Times New Roman" w:hAnsi="Times New Roman"/>
          <w:sz w:val="28"/>
          <w:szCs w:val="28"/>
          <w:lang w:val="uk-UA"/>
        </w:rPr>
        <w:t xml:space="preserve"> 5.</w:t>
      </w:r>
      <w:r>
        <w:rPr>
          <w:rFonts w:ascii="Times New Roman" w:hAnsi="Times New Roman"/>
          <w:sz w:val="28"/>
          <w:szCs w:val="28"/>
          <w:lang w:val="uk-UA"/>
        </w:rPr>
        <w:t>7</w:t>
      </w:r>
      <w:r w:rsidRPr="00FD6349">
        <w:rPr>
          <w:rFonts w:ascii="Times New Roman" w:hAnsi="Times New Roman"/>
          <w:sz w:val="28"/>
          <w:szCs w:val="28"/>
          <w:lang w:val="uk-UA"/>
        </w:rPr>
        <w:t>. Фрагмент мікропрепарату мозку щурів (власні дані). Забарвлення гематоксилін-еозин. Окуляр х40. Об’єктив х10</w:t>
      </w:r>
      <w:r>
        <w:rPr>
          <w:rFonts w:ascii="Times New Roman" w:hAnsi="Times New Roman"/>
          <w:sz w:val="28"/>
          <w:szCs w:val="28"/>
          <w:lang w:val="uk-UA"/>
        </w:rPr>
        <w:t>, де</w:t>
      </w:r>
      <w:r w:rsidRPr="00FD6349">
        <w:rPr>
          <w:rFonts w:ascii="Times New Roman" w:hAnsi="Times New Roman"/>
          <w:sz w:val="28"/>
          <w:szCs w:val="28"/>
          <w:lang w:val="uk-UA"/>
        </w:rPr>
        <w:t>: 1 – речовина мозку; 2 – субарахноїдальний простір; 3 – артеріола; 4 – венула; 5– форменні елементи; 6 – нейрони (а -тіло; б – відростки аксони та дендрити; в – ядра); 7 – рідка кров</w:t>
      </w:r>
    </w:p>
    <w:p w:rsidR="001F0A71" w:rsidRPr="00FD6349" w:rsidRDefault="001F0A71" w:rsidP="0069152C">
      <w:pPr>
        <w:widowControl w:val="0"/>
        <w:tabs>
          <w:tab w:val="left" w:pos="1276"/>
          <w:tab w:val="left" w:pos="1701"/>
        </w:tabs>
        <w:spacing w:after="0" w:line="360" w:lineRule="auto"/>
        <w:ind w:firstLine="284"/>
        <w:jc w:val="both"/>
        <w:rPr>
          <w:rFonts w:ascii="Times New Roman" w:hAnsi="Times New Roman"/>
          <w:sz w:val="28"/>
          <w:szCs w:val="28"/>
          <w:lang w:val="uk-UA"/>
        </w:rPr>
      </w:pPr>
    </w:p>
    <w:tbl>
      <w:tblPr>
        <w:tblW w:w="9356" w:type="dxa"/>
        <w:tblInd w:w="108" w:type="dxa"/>
        <w:tblLayout w:type="fixed"/>
        <w:tblLook w:val="01E0"/>
      </w:tblPr>
      <w:tblGrid>
        <w:gridCol w:w="4820"/>
        <w:gridCol w:w="4536"/>
      </w:tblGrid>
      <w:tr w:rsidR="001F0A71" w:rsidRPr="00FD6349" w:rsidTr="001F0A71">
        <w:trPr>
          <w:trHeight w:val="454"/>
        </w:trPr>
        <w:tc>
          <w:tcPr>
            <w:tcW w:w="4820" w:type="dxa"/>
            <w:shd w:val="clear" w:color="auto" w:fill="auto"/>
          </w:tcPr>
          <w:p w:rsidR="001F0A71" w:rsidRPr="00FD6349" w:rsidRDefault="005D0FB9" w:rsidP="001F0A71">
            <w:pPr>
              <w:widowControl w:val="0"/>
              <w:spacing w:after="0" w:line="360" w:lineRule="auto"/>
              <w:ind w:firstLine="284"/>
              <w:jc w:val="center"/>
              <w:rPr>
                <w:rFonts w:ascii="Times New Roman" w:hAnsi="Times New Roman"/>
                <w:sz w:val="28"/>
                <w:szCs w:val="28"/>
                <w:lang w:val="uk-UA"/>
              </w:rPr>
            </w:pPr>
            <w:r>
              <w:rPr>
                <w:noProof/>
              </w:rPr>
              <w:drawing>
                <wp:inline distT="0" distB="0" distL="0" distR="0">
                  <wp:extent cx="2181225" cy="18288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1828800"/>
                          </a:xfrm>
                          <a:prstGeom prst="rect">
                            <a:avLst/>
                          </a:prstGeom>
                          <a:noFill/>
                          <a:ln>
                            <a:noFill/>
                          </a:ln>
                        </pic:spPr>
                      </pic:pic>
                    </a:graphicData>
                  </a:graphic>
                </wp:inline>
              </w:drawing>
            </w:r>
          </w:p>
        </w:tc>
        <w:tc>
          <w:tcPr>
            <w:tcW w:w="4536" w:type="dxa"/>
            <w:shd w:val="clear" w:color="auto" w:fill="auto"/>
          </w:tcPr>
          <w:p w:rsidR="001F0A71" w:rsidRPr="00FD6349" w:rsidRDefault="005D0FB9" w:rsidP="001F0A71">
            <w:pPr>
              <w:widowControl w:val="0"/>
              <w:spacing w:after="0" w:line="360" w:lineRule="auto"/>
              <w:ind w:firstLine="284"/>
              <w:jc w:val="center"/>
              <w:rPr>
                <w:rFonts w:ascii="Times New Roman" w:hAnsi="Times New Roman"/>
                <w:sz w:val="28"/>
                <w:szCs w:val="28"/>
                <w:lang w:val="uk-UA"/>
              </w:rPr>
            </w:pPr>
            <w:r>
              <w:rPr>
                <w:noProof/>
              </w:rPr>
              <w:drawing>
                <wp:inline distT="0" distB="0" distL="0" distR="0">
                  <wp:extent cx="2181225" cy="1828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1828800"/>
                          </a:xfrm>
                          <a:prstGeom prst="rect">
                            <a:avLst/>
                          </a:prstGeom>
                          <a:noFill/>
                          <a:ln>
                            <a:noFill/>
                          </a:ln>
                        </pic:spPr>
                      </pic:pic>
                    </a:graphicData>
                  </a:graphic>
                </wp:inline>
              </w:drawing>
            </w:r>
          </w:p>
        </w:tc>
      </w:tr>
      <w:tr w:rsidR="001F0A71" w:rsidRPr="00FD6349" w:rsidTr="001F0A71">
        <w:trPr>
          <w:trHeight w:val="457"/>
        </w:trPr>
        <w:tc>
          <w:tcPr>
            <w:tcW w:w="9356" w:type="dxa"/>
            <w:gridSpan w:val="2"/>
            <w:shd w:val="clear" w:color="auto" w:fill="auto"/>
          </w:tcPr>
          <w:p w:rsidR="001F0A71" w:rsidRPr="00FD6349" w:rsidRDefault="001F0A71" w:rsidP="001F0A71">
            <w:pPr>
              <w:widowControl w:val="0"/>
              <w:spacing w:after="0" w:line="240" w:lineRule="auto"/>
              <w:ind w:firstLine="284"/>
              <w:jc w:val="center"/>
              <w:rPr>
                <w:szCs w:val="28"/>
                <w:lang w:val="uk-UA"/>
              </w:rPr>
            </w:pPr>
            <w:r w:rsidRPr="00FD6349">
              <w:rPr>
                <w:rFonts w:ascii="Times New Roman" w:hAnsi="Times New Roman"/>
                <w:sz w:val="28"/>
                <w:szCs w:val="28"/>
                <w:lang w:val="uk-UA"/>
              </w:rPr>
              <w:t>А.</w:t>
            </w:r>
          </w:p>
        </w:tc>
      </w:tr>
      <w:tr w:rsidR="001F0A71" w:rsidRPr="00FD6349" w:rsidTr="001F0A71">
        <w:trPr>
          <w:trHeight w:val="3216"/>
        </w:trPr>
        <w:tc>
          <w:tcPr>
            <w:tcW w:w="4820" w:type="dxa"/>
            <w:shd w:val="clear" w:color="auto" w:fill="auto"/>
          </w:tcPr>
          <w:p w:rsidR="001F0A71" w:rsidRPr="00FD6349" w:rsidRDefault="005D0FB9" w:rsidP="001F0A71">
            <w:pPr>
              <w:pStyle w:val="13"/>
              <w:widowControl w:val="0"/>
              <w:spacing w:line="360" w:lineRule="auto"/>
              <w:ind w:firstLine="284"/>
              <w:jc w:val="center"/>
              <w:rPr>
                <w:szCs w:val="28"/>
              </w:rPr>
            </w:pPr>
            <w:r>
              <w:rPr>
                <w:noProof/>
                <w:lang w:val="ru-RU" w:eastAsia="ru-RU"/>
              </w:rPr>
              <w:lastRenderedPageBreak/>
              <w:drawing>
                <wp:inline distT="0" distB="0" distL="0" distR="0">
                  <wp:extent cx="2133600" cy="1828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0" cy="1828800"/>
                          </a:xfrm>
                          <a:prstGeom prst="rect">
                            <a:avLst/>
                          </a:prstGeom>
                          <a:noFill/>
                          <a:ln>
                            <a:noFill/>
                          </a:ln>
                        </pic:spPr>
                      </pic:pic>
                    </a:graphicData>
                  </a:graphic>
                </wp:inline>
              </w:drawing>
            </w:r>
          </w:p>
        </w:tc>
        <w:tc>
          <w:tcPr>
            <w:tcW w:w="4536" w:type="dxa"/>
            <w:shd w:val="clear" w:color="auto" w:fill="auto"/>
          </w:tcPr>
          <w:p w:rsidR="001F0A71" w:rsidRPr="00FD6349" w:rsidRDefault="005D0FB9" w:rsidP="001F0A71">
            <w:pPr>
              <w:pStyle w:val="13"/>
              <w:widowControl w:val="0"/>
              <w:spacing w:line="360" w:lineRule="auto"/>
              <w:ind w:firstLine="284"/>
              <w:jc w:val="center"/>
              <w:rPr>
                <w:szCs w:val="28"/>
              </w:rPr>
            </w:pPr>
            <w:r>
              <w:rPr>
                <w:noProof/>
                <w:lang w:val="ru-RU" w:eastAsia="ru-RU"/>
              </w:rPr>
              <w:drawing>
                <wp:inline distT="0" distB="0" distL="0" distR="0">
                  <wp:extent cx="2162175" cy="18288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1828800"/>
                          </a:xfrm>
                          <a:prstGeom prst="rect">
                            <a:avLst/>
                          </a:prstGeom>
                          <a:noFill/>
                          <a:ln>
                            <a:noFill/>
                          </a:ln>
                        </pic:spPr>
                      </pic:pic>
                    </a:graphicData>
                  </a:graphic>
                </wp:inline>
              </w:drawing>
            </w:r>
          </w:p>
        </w:tc>
      </w:tr>
      <w:tr w:rsidR="001F0A71" w:rsidRPr="00FD6349" w:rsidTr="001F0A71">
        <w:trPr>
          <w:trHeight w:val="453"/>
        </w:trPr>
        <w:tc>
          <w:tcPr>
            <w:tcW w:w="9356" w:type="dxa"/>
            <w:gridSpan w:val="2"/>
            <w:shd w:val="clear" w:color="auto" w:fill="auto"/>
          </w:tcPr>
          <w:p w:rsidR="001F0A71" w:rsidRPr="00FD6349" w:rsidRDefault="001F0A71" w:rsidP="001F0A71">
            <w:pPr>
              <w:pStyle w:val="13"/>
              <w:widowControl w:val="0"/>
              <w:ind w:firstLine="284"/>
              <w:jc w:val="center"/>
              <w:rPr>
                <w:noProof/>
              </w:rPr>
            </w:pPr>
            <w:r>
              <w:rPr>
                <w:szCs w:val="28"/>
                <w:lang w:val="ru-RU"/>
              </w:rPr>
              <w:t>Б</w:t>
            </w:r>
            <w:r w:rsidRPr="00FD6349">
              <w:rPr>
                <w:szCs w:val="28"/>
              </w:rPr>
              <w:t>.</w:t>
            </w:r>
          </w:p>
        </w:tc>
      </w:tr>
    </w:tbl>
    <w:p w:rsidR="001F0A71" w:rsidRPr="00FD6349" w:rsidRDefault="001F0A71" w:rsidP="00986762">
      <w:pPr>
        <w:widowControl w:val="0"/>
        <w:tabs>
          <w:tab w:val="left" w:pos="1276"/>
          <w:tab w:val="left" w:pos="1701"/>
        </w:tabs>
        <w:spacing w:after="0" w:line="240" w:lineRule="auto"/>
        <w:ind w:left="1560" w:hanging="1276"/>
        <w:jc w:val="both"/>
        <w:rPr>
          <w:rFonts w:ascii="Times New Roman" w:hAnsi="Times New Roman"/>
          <w:sz w:val="28"/>
          <w:szCs w:val="28"/>
          <w:lang w:val="uk-UA"/>
        </w:rPr>
      </w:pPr>
      <w:r>
        <w:rPr>
          <w:rFonts w:ascii="Times New Roman" w:hAnsi="Times New Roman"/>
          <w:sz w:val="28"/>
          <w:szCs w:val="28"/>
          <w:lang w:val="uk-UA"/>
        </w:rPr>
        <w:t>Рис.</w:t>
      </w:r>
      <w:r w:rsidRPr="00FD6349">
        <w:rPr>
          <w:rFonts w:ascii="Times New Roman" w:hAnsi="Times New Roman"/>
          <w:sz w:val="28"/>
          <w:szCs w:val="28"/>
          <w:lang w:val="uk-UA"/>
        </w:rPr>
        <w:t xml:space="preserve"> 5.</w:t>
      </w:r>
      <w:r>
        <w:rPr>
          <w:rFonts w:ascii="Times New Roman" w:hAnsi="Times New Roman"/>
          <w:sz w:val="28"/>
          <w:szCs w:val="28"/>
          <w:lang w:val="uk-UA"/>
        </w:rPr>
        <w:t>8</w:t>
      </w:r>
      <w:r w:rsidRPr="00FD6349">
        <w:rPr>
          <w:rFonts w:ascii="Times New Roman" w:hAnsi="Times New Roman"/>
          <w:sz w:val="28"/>
          <w:szCs w:val="28"/>
          <w:lang w:val="uk-UA"/>
        </w:rPr>
        <w:t>. Фрагмент мікропрепарату мозку щурів (власні дані). Забарвлення гематоксилін-еозин. Окуляр х40. Об’єктив х10</w:t>
      </w:r>
      <w:r>
        <w:rPr>
          <w:rFonts w:ascii="Times New Roman" w:hAnsi="Times New Roman"/>
          <w:sz w:val="28"/>
          <w:szCs w:val="28"/>
          <w:lang w:val="uk-UA"/>
        </w:rPr>
        <w:t>, де</w:t>
      </w:r>
      <w:r w:rsidRPr="00FD6349">
        <w:rPr>
          <w:rFonts w:ascii="Times New Roman" w:hAnsi="Times New Roman"/>
          <w:sz w:val="28"/>
          <w:szCs w:val="28"/>
          <w:lang w:val="uk-UA"/>
        </w:rPr>
        <w:t>: 1 – речовина мозку; 2 – субарахноїдальний простір; 3 – артеріола; 4 – венула; 5– форменні елементи; 6 – нейрони (а -тіло; б – відростки аксони та дендрити; в – ядра); 7 – рідка кров</w:t>
      </w:r>
    </w:p>
    <w:p w:rsidR="00DB1BB1" w:rsidRDefault="00DB1BB1" w:rsidP="0069152C">
      <w:pPr>
        <w:widowControl w:val="0"/>
        <w:tabs>
          <w:tab w:val="left" w:pos="1276"/>
          <w:tab w:val="left" w:pos="1701"/>
        </w:tabs>
        <w:spacing w:after="0" w:line="360" w:lineRule="auto"/>
        <w:ind w:firstLine="284"/>
        <w:jc w:val="both"/>
        <w:rPr>
          <w:rFonts w:ascii="Times New Roman" w:hAnsi="Times New Roman"/>
          <w:sz w:val="28"/>
          <w:szCs w:val="28"/>
          <w:lang w:val="uk-UA"/>
        </w:rPr>
      </w:pPr>
    </w:p>
    <w:p w:rsidR="00473231" w:rsidRDefault="00473231" w:rsidP="00473231">
      <w:pPr>
        <w:widowControl w:val="0"/>
        <w:tabs>
          <w:tab w:val="left" w:pos="1276"/>
          <w:tab w:val="left" w:pos="1701"/>
        </w:tabs>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Це проявилось і характеризувалось наступним. Ознаки перивазального набряку, вазоспазму, артеріоло- та веностазу були майже відсутніми. Кортикальні нейрони, а також нейрони гіпокампу мали типову диференціацію, характерну для функціонально спроможних клітин. </w:t>
      </w:r>
    </w:p>
    <w:p w:rsidR="00DB1BB1" w:rsidRDefault="00DB1BB1" w:rsidP="0069152C">
      <w:pPr>
        <w:widowControl w:val="0"/>
        <w:tabs>
          <w:tab w:val="left" w:pos="1276"/>
          <w:tab w:val="left" w:pos="1701"/>
        </w:tabs>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Чітко візуалізувались ядра, а вних по центру ядерця, незмінена цитоплазма, мембрана мала ознаки характерні для її цілісної будови, перинейрональний набряк відсутній, весь цитозоль знаходився в межах контуру тіл нейронів від яких відходили аксони та дендрити. </w:t>
      </w:r>
    </w:p>
    <w:p w:rsidR="00473231" w:rsidRDefault="001F0A71" w:rsidP="00BB6F54">
      <w:pPr>
        <w:widowControl w:val="0"/>
        <w:tabs>
          <w:tab w:val="left" w:pos="1276"/>
          <w:tab w:val="left" w:pos="1701"/>
        </w:tabs>
        <w:spacing w:after="0" w:line="360" w:lineRule="auto"/>
        <w:ind w:firstLine="284"/>
        <w:jc w:val="both"/>
        <w:rPr>
          <w:rFonts w:ascii="Times New Roman" w:eastAsiaTheme="majorEastAsia" w:hAnsi="Times New Roman"/>
          <w:b/>
          <w:sz w:val="28"/>
          <w:szCs w:val="26"/>
          <w:lang w:val="uk-UA"/>
        </w:rPr>
      </w:pPr>
      <w:r w:rsidRPr="00FD6349">
        <w:rPr>
          <w:rFonts w:ascii="Times New Roman" w:hAnsi="Times New Roman"/>
          <w:sz w:val="28"/>
          <w:szCs w:val="28"/>
          <w:lang w:val="uk-UA"/>
        </w:rPr>
        <w:t>В цілому, гістоморфологічна картина на тлі терапії обома препаратами мала вигляд, котрий наближався до пан</w:t>
      </w:r>
      <w:r w:rsidR="002E0AED">
        <w:rPr>
          <w:rFonts w:ascii="Times New Roman" w:hAnsi="Times New Roman"/>
          <w:sz w:val="28"/>
          <w:szCs w:val="28"/>
          <w:lang w:val="uk-UA"/>
        </w:rPr>
        <w:t>орами у псевдооперованих щурів</w:t>
      </w:r>
      <w:r w:rsidRPr="00FD6349">
        <w:rPr>
          <w:rFonts w:ascii="Times New Roman" w:hAnsi="Times New Roman"/>
          <w:sz w:val="28"/>
          <w:szCs w:val="28"/>
          <w:lang w:val="uk-UA"/>
        </w:rPr>
        <w:t>, які було отримано при імуноферментному досліджені специфічних нейромаркерів.</w:t>
      </w:r>
      <w:r w:rsidR="00473231">
        <w:rPr>
          <w:rFonts w:ascii="Times New Roman" w:hAnsi="Times New Roman"/>
          <w:b/>
          <w:sz w:val="28"/>
          <w:lang w:val="uk-UA"/>
        </w:rPr>
        <w:br w:type="page"/>
      </w:r>
    </w:p>
    <w:p w:rsidR="001F0A71" w:rsidRDefault="001F0A71" w:rsidP="0069152C">
      <w:pPr>
        <w:pStyle w:val="2"/>
        <w:spacing w:line="360" w:lineRule="auto"/>
        <w:ind w:firstLine="284"/>
        <w:jc w:val="both"/>
        <w:rPr>
          <w:rFonts w:ascii="Times New Roman" w:hAnsi="Times New Roman" w:cs="Times New Roman"/>
          <w:bCs/>
          <w:color w:val="auto"/>
          <w:sz w:val="28"/>
          <w:lang w:val="uk-UA"/>
        </w:rPr>
      </w:pPr>
      <w:r w:rsidRPr="00986762">
        <w:rPr>
          <w:rFonts w:ascii="Times New Roman" w:hAnsi="Times New Roman" w:cs="Times New Roman"/>
          <w:bCs/>
          <w:color w:val="auto"/>
          <w:sz w:val="28"/>
          <w:lang w:val="uk-UA"/>
        </w:rPr>
        <w:lastRenderedPageBreak/>
        <w:t>Висновок до розділу 5</w:t>
      </w:r>
    </w:p>
    <w:p w:rsidR="00986762" w:rsidRPr="00986762" w:rsidRDefault="00986762" w:rsidP="00986762">
      <w:pPr>
        <w:rPr>
          <w:lang w:val="uk-UA"/>
        </w:rPr>
      </w:pPr>
    </w:p>
    <w:p w:rsidR="001F0A71" w:rsidRDefault="001F0A71" w:rsidP="0069152C">
      <w:pPr>
        <w:widowControl w:val="0"/>
        <w:tabs>
          <w:tab w:val="left" w:pos="1276"/>
          <w:tab w:val="left" w:pos="1701"/>
        </w:tabs>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 xml:space="preserve">В критичний період </w:t>
      </w:r>
      <w:r>
        <w:rPr>
          <w:rFonts w:ascii="Times New Roman" w:hAnsi="Times New Roman"/>
          <w:sz w:val="28"/>
          <w:szCs w:val="28"/>
          <w:lang w:val="uk-UA"/>
        </w:rPr>
        <w:t>САК</w:t>
      </w:r>
      <w:r w:rsidRPr="00FD6349">
        <w:rPr>
          <w:rFonts w:ascii="Times New Roman" w:hAnsi="Times New Roman"/>
          <w:sz w:val="28"/>
          <w:szCs w:val="28"/>
          <w:lang w:val="uk-UA"/>
        </w:rPr>
        <w:t xml:space="preserve">адемол за величиною послаблення нейроцитолізу, який верифікували за вмістом нейромаркера нейрон-специфічної енолази вірогідно переважав дієвість німодипіну, амантадину та магнію сульфату в середньому у 1,57, 1,49 та 2,04 рази, виявляючи при цьому антинейроапоптотичний та антинейрогліопроліферативний ефекти (оцінені при </w:t>
      </w:r>
      <w:r>
        <w:rPr>
          <w:rFonts w:ascii="Times New Roman" w:hAnsi="Times New Roman"/>
          <w:sz w:val="28"/>
          <w:szCs w:val="28"/>
          <w:lang w:val="uk-UA"/>
        </w:rPr>
        <w:t>ВМК</w:t>
      </w:r>
      <w:r w:rsidRPr="00FD6349">
        <w:rPr>
          <w:rFonts w:ascii="Times New Roman" w:hAnsi="Times New Roman"/>
          <w:sz w:val="28"/>
          <w:szCs w:val="28"/>
          <w:lang w:val="uk-UA"/>
        </w:rPr>
        <w:t xml:space="preserve"> відповідно за ступенем фрагментації ядерної ДНК та рівнем S100 і активацією фази синтезу ДНК), переважаючи німодипін в середньому на 13,0 % (апоптоз), та у 1,35 та 1,68 рази (нейропроліферація за вмістом S100 і протоково-цитометричним критерієм), р&lt;0,05. </w:t>
      </w:r>
    </w:p>
    <w:p w:rsidR="001F0A71" w:rsidRPr="00FD6349" w:rsidRDefault="001F0A71" w:rsidP="0069152C">
      <w:pPr>
        <w:widowControl w:val="0"/>
        <w:tabs>
          <w:tab w:val="left" w:pos="1276"/>
          <w:tab w:val="left" w:pos="1701"/>
        </w:tabs>
        <w:spacing w:after="0" w:line="360" w:lineRule="auto"/>
        <w:ind w:firstLine="284"/>
        <w:jc w:val="both"/>
        <w:rPr>
          <w:rFonts w:ascii="Times New Roman" w:hAnsi="Times New Roman"/>
          <w:sz w:val="28"/>
          <w:szCs w:val="28"/>
          <w:lang w:val="uk-UA"/>
        </w:rPr>
      </w:pPr>
      <w:r w:rsidRPr="00FD6349">
        <w:rPr>
          <w:rFonts w:ascii="Times New Roman" w:hAnsi="Times New Roman"/>
          <w:sz w:val="28"/>
          <w:szCs w:val="28"/>
          <w:lang w:val="uk-UA"/>
        </w:rPr>
        <w:t>За даними світлової мікроскопії, гістоморфологічна картина на тлі терапії адемолом і німодипіном мала вигляд, котрий наближався до панорами у псевдооперованих щурів, що доповнює факти, які було отримано при імуноферментному та цитометричному досліджені.</w:t>
      </w:r>
    </w:p>
    <w:p w:rsidR="001F0A71" w:rsidRDefault="001F0A71" w:rsidP="0069152C">
      <w:pPr>
        <w:spacing w:after="160" w:line="259" w:lineRule="auto"/>
        <w:ind w:firstLine="284"/>
        <w:rPr>
          <w:rFonts w:ascii="Times New Roman" w:hAnsi="Times New Roman"/>
          <w:lang w:val="uk-UA"/>
        </w:rPr>
      </w:pPr>
      <w:r>
        <w:rPr>
          <w:rFonts w:ascii="Times New Roman" w:hAnsi="Times New Roman"/>
          <w:lang w:val="uk-UA"/>
        </w:rPr>
        <w:br w:type="page"/>
      </w:r>
    </w:p>
    <w:p w:rsidR="001F0A71" w:rsidRPr="001F0A71" w:rsidRDefault="001F0A71" w:rsidP="0069152C">
      <w:pPr>
        <w:pStyle w:val="1"/>
        <w:spacing w:line="360" w:lineRule="auto"/>
        <w:ind w:firstLine="284"/>
        <w:jc w:val="center"/>
        <w:rPr>
          <w:sz w:val="28"/>
          <w:szCs w:val="28"/>
          <w:lang w:val="uk-UA"/>
        </w:rPr>
      </w:pPr>
      <w:r w:rsidRPr="001F0A71">
        <w:rPr>
          <w:sz w:val="28"/>
          <w:szCs w:val="28"/>
          <w:lang w:val="uk-UA"/>
        </w:rPr>
        <w:lastRenderedPageBreak/>
        <w:t>РОЗДІЛ 6</w:t>
      </w:r>
    </w:p>
    <w:p w:rsidR="001F0A71" w:rsidRPr="001F0A71" w:rsidRDefault="001F0A71" w:rsidP="0069152C">
      <w:pPr>
        <w:widowControl w:val="0"/>
        <w:tabs>
          <w:tab w:val="left" w:pos="360"/>
        </w:tabs>
        <w:spacing w:after="0" w:line="360" w:lineRule="auto"/>
        <w:ind w:firstLine="284"/>
        <w:jc w:val="center"/>
        <w:rPr>
          <w:rFonts w:ascii="Times New Roman" w:hAnsi="Times New Roman"/>
          <w:b/>
          <w:bCs/>
          <w:sz w:val="28"/>
          <w:szCs w:val="28"/>
          <w:lang w:val="uk-UA"/>
        </w:rPr>
      </w:pPr>
      <w:r w:rsidRPr="001F0A71">
        <w:rPr>
          <w:rFonts w:ascii="Times New Roman" w:hAnsi="Times New Roman"/>
          <w:b/>
          <w:bCs/>
          <w:sz w:val="28"/>
          <w:szCs w:val="28"/>
          <w:lang w:val="uk-UA"/>
        </w:rPr>
        <w:t>ДОСЛІДЖЕННЯ ВНУТРІШНЬОНЕЙРОНАЛЬНИХ МЕТАБОЛІЧНИХ ПРОЦЕСІВ НА ТЛІ ТЕРАПІЇ АДЕМОЛОМ</w:t>
      </w:r>
    </w:p>
    <w:p w:rsidR="001F0A71" w:rsidRPr="001F0A71" w:rsidRDefault="001F0A71" w:rsidP="0069152C">
      <w:pPr>
        <w:pStyle w:val="-1"/>
        <w:widowControl w:val="0"/>
        <w:spacing w:line="360" w:lineRule="auto"/>
        <w:ind w:firstLine="284"/>
        <w:rPr>
          <w:sz w:val="28"/>
          <w:szCs w:val="28"/>
          <w:lang w:val="uk-UA"/>
        </w:rPr>
      </w:pPr>
    </w:p>
    <w:p w:rsidR="001F0A71" w:rsidRPr="00986762" w:rsidRDefault="001F0A71" w:rsidP="0069152C">
      <w:pPr>
        <w:pStyle w:val="2"/>
        <w:spacing w:line="360" w:lineRule="auto"/>
        <w:ind w:firstLine="284"/>
        <w:rPr>
          <w:rFonts w:ascii="Times New Roman" w:hAnsi="Times New Roman" w:cs="Times New Roman"/>
          <w:color w:val="auto"/>
          <w:sz w:val="28"/>
          <w:szCs w:val="28"/>
          <w:lang w:val="uk-UA"/>
        </w:rPr>
      </w:pPr>
      <w:r w:rsidRPr="00986762">
        <w:rPr>
          <w:rFonts w:ascii="Times New Roman" w:hAnsi="Times New Roman" w:cs="Times New Roman"/>
          <w:color w:val="auto"/>
          <w:sz w:val="28"/>
          <w:szCs w:val="28"/>
          <w:lang w:val="uk-UA"/>
        </w:rPr>
        <w:t xml:space="preserve">6.1. Зміни </w:t>
      </w:r>
      <w:r w:rsidRPr="00986762">
        <w:rPr>
          <w:rFonts w:ascii="Times New Roman" w:hAnsi="Times New Roman" w:cs="Times New Roman"/>
          <w:color w:val="auto"/>
          <w:sz w:val="28"/>
          <w:szCs w:val="28"/>
          <w:lang w:val="uk-UA" w:eastAsia="uk-UA"/>
        </w:rPr>
        <w:t>пулу макроергів та інтермедіатів вуглеводного обміну в головному мозку щурів із субарахноїдальним крововиливом</w:t>
      </w:r>
      <w:r w:rsidRPr="00986762">
        <w:rPr>
          <w:rFonts w:ascii="Times New Roman" w:hAnsi="Times New Roman" w:cs="Times New Roman"/>
          <w:color w:val="auto"/>
          <w:sz w:val="28"/>
          <w:szCs w:val="28"/>
          <w:lang w:val="uk-UA"/>
        </w:rPr>
        <w:t xml:space="preserve"> при терапії адемолом</w:t>
      </w:r>
    </w:p>
    <w:p w:rsidR="001F0A71" w:rsidRPr="00F42677" w:rsidRDefault="001F0A71" w:rsidP="0069152C">
      <w:pPr>
        <w:widowControl w:val="0"/>
        <w:spacing w:after="0" w:line="360" w:lineRule="auto"/>
        <w:ind w:firstLine="284"/>
        <w:jc w:val="both"/>
        <w:rPr>
          <w:rFonts w:ascii="Times New Roman" w:hAnsi="Times New Roman"/>
          <w:sz w:val="28"/>
          <w:szCs w:val="28"/>
          <w:lang w:val="uk-UA"/>
        </w:rPr>
      </w:pPr>
      <w:r w:rsidRPr="001F0A71">
        <w:rPr>
          <w:rFonts w:ascii="Times New Roman" w:hAnsi="Times New Roman"/>
          <w:sz w:val="28"/>
          <w:szCs w:val="28"/>
          <w:lang w:val="uk-UA"/>
        </w:rPr>
        <w:t>У цьому розділі на моделі САК досліджено деякі біохімічні аспекти церебропротекторної дії промислового зразка 1,0 % розчину адемолу, а саме його вплив на показники вуглеводного (вміст лактату та пірувату), енергетичного обмінів (вміст аденілових нуклеотидів, енергетичний заряд), стан антиоксидантних систем (активність ензимів: СОД</w:t>
      </w:r>
      <w:r w:rsidRPr="00F42677">
        <w:rPr>
          <w:rFonts w:ascii="Times New Roman" w:hAnsi="Times New Roman"/>
          <w:sz w:val="28"/>
          <w:szCs w:val="28"/>
          <w:lang w:val="uk-UA"/>
        </w:rPr>
        <w:t xml:space="preserve">, ГПО, каталази), активність процесів ліпопероксидації (вміст МДА), окисної деструкції білків (вміст КГП), а також стан системи L-аргінін / NO в мозку щурів, як можливі метаболітотропні складові його захисного ефекту на нейрони головного мозку при САК. Дослідження метаболізму аденілових нуклеотидів за умов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42677">
        <w:rPr>
          <w:rFonts w:ascii="Times New Roman" w:hAnsi="Times New Roman"/>
          <w:sz w:val="28"/>
          <w:szCs w:val="28"/>
          <w:lang w:val="uk-UA"/>
        </w:rPr>
        <w:t xml:space="preserve"> (табл. 6.1) показало, що станом на 4-ту добу експерименту у головному мозку щурів групи контрольної патології порівняно з псевдооперованими тваринами вірогідно знижувались запаси АТФ в середньому на 63,8 %, і зростав вміст АДФ та АМФ (їх рівень підвищився відповідно у 2,27 та 1,7 рази). За цих умов реєструвалось статистично достовірне падіння енергетичного заряду клітин головного мозку в середньому на 34,6 %, що свідчить про зниження енергетичного потенціалу та розвиток гіпоенергетичного стану. Ймовірно, описані зміни є наслідком пригнічення процесу окисного фосфорилування та зниження ступеня його супряження з тканинним диханням. </w:t>
      </w:r>
    </w:p>
    <w:p w:rsidR="001F0A71" w:rsidRDefault="001F0A7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 xml:space="preserve">На 21-шу добу експерименту (відновний період САК), відмічалось зменшення пертурбацій в метаболізмі аденілових нуклеотидів (табл. 6.1). </w:t>
      </w:r>
    </w:p>
    <w:p w:rsidR="001F0A71" w:rsidRDefault="001F0A7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Так, зниження вмісту АТФ та енергетичного заряду становило відповідно 43,1 та 23,9 %, а рівні АДФ та АМФ підвищились відповідно у 2,1 та 1,6 рази, при чому рівень цих показників все ще достовірно відрізнявся від таких у псевдооперованих щурів.</w:t>
      </w:r>
    </w:p>
    <w:p w:rsidR="00406EAF" w:rsidRDefault="00406EAF" w:rsidP="0069152C">
      <w:pPr>
        <w:widowControl w:val="0"/>
        <w:spacing w:after="0" w:line="360" w:lineRule="auto"/>
        <w:ind w:firstLine="284"/>
        <w:jc w:val="both"/>
        <w:rPr>
          <w:rFonts w:ascii="Times New Roman" w:hAnsi="Times New Roman"/>
          <w:sz w:val="28"/>
          <w:szCs w:val="28"/>
          <w:lang w:val="uk-UA"/>
        </w:rPr>
      </w:pPr>
    </w:p>
    <w:p w:rsidR="00406EAF" w:rsidRDefault="00406EAF" w:rsidP="0069152C">
      <w:pPr>
        <w:widowControl w:val="0"/>
        <w:spacing w:after="0" w:line="360" w:lineRule="auto"/>
        <w:ind w:firstLine="284"/>
        <w:jc w:val="both"/>
        <w:rPr>
          <w:rFonts w:ascii="Times New Roman" w:hAnsi="Times New Roman"/>
          <w:sz w:val="28"/>
          <w:szCs w:val="28"/>
          <w:lang w:val="uk-UA"/>
        </w:rPr>
        <w:sectPr w:rsidR="00406EAF" w:rsidSect="00F957B1">
          <w:footerReference w:type="default" r:id="rId54"/>
          <w:pgSz w:w="11906" w:h="16838"/>
          <w:pgMar w:top="1134" w:right="567" w:bottom="1134" w:left="1134" w:header="708" w:footer="708" w:gutter="0"/>
          <w:pgNumType w:start="88"/>
          <w:cols w:space="708"/>
          <w:docGrid w:linePitch="360"/>
        </w:sectPr>
      </w:pPr>
    </w:p>
    <w:p w:rsidR="001F0A71" w:rsidRPr="00F42677" w:rsidRDefault="001F0A71" w:rsidP="001F0A71">
      <w:pPr>
        <w:widowControl w:val="0"/>
        <w:spacing w:after="0" w:line="360" w:lineRule="auto"/>
        <w:ind w:firstLine="284"/>
        <w:jc w:val="right"/>
        <w:rPr>
          <w:rFonts w:ascii="Times New Roman" w:hAnsi="Times New Roman"/>
          <w:sz w:val="28"/>
          <w:szCs w:val="28"/>
          <w:lang w:val="uk-UA"/>
        </w:rPr>
      </w:pPr>
      <w:r w:rsidRPr="00F42677">
        <w:rPr>
          <w:rFonts w:ascii="Times New Roman" w:hAnsi="Times New Roman"/>
          <w:sz w:val="28"/>
          <w:szCs w:val="28"/>
          <w:lang w:val="uk-UA"/>
        </w:rPr>
        <w:lastRenderedPageBreak/>
        <w:t>Таблиця 6.1</w:t>
      </w:r>
    </w:p>
    <w:p w:rsidR="001F0A71" w:rsidRDefault="001F0A71" w:rsidP="001F0A71">
      <w:pPr>
        <w:widowControl w:val="0"/>
        <w:spacing w:after="0" w:line="240" w:lineRule="auto"/>
        <w:ind w:firstLine="284"/>
        <w:jc w:val="center"/>
        <w:rPr>
          <w:rFonts w:ascii="Times New Roman" w:hAnsi="Times New Roman"/>
          <w:sz w:val="28"/>
          <w:szCs w:val="28"/>
          <w:lang w:val="uk-UA"/>
        </w:rPr>
      </w:pPr>
      <w:r w:rsidRPr="00680456">
        <w:rPr>
          <w:rFonts w:ascii="Times New Roman" w:hAnsi="Times New Roman"/>
          <w:sz w:val="28"/>
          <w:szCs w:val="28"/>
          <w:lang w:val="uk-UA"/>
        </w:rPr>
        <w:t xml:space="preserve">Динаміка впливу адемолу на вміст аденілових нуклеотидів у мозку щурів </w:t>
      </w:r>
    </w:p>
    <w:p w:rsidR="001F0A71" w:rsidRDefault="001F0A71" w:rsidP="001F0A71">
      <w:pPr>
        <w:widowControl w:val="0"/>
        <w:spacing w:after="0" w:line="240" w:lineRule="auto"/>
        <w:ind w:firstLine="284"/>
        <w:jc w:val="center"/>
        <w:rPr>
          <w:rFonts w:ascii="Times New Roman" w:hAnsi="Times New Roman"/>
          <w:sz w:val="28"/>
          <w:szCs w:val="28"/>
          <w:lang w:val="uk-UA"/>
        </w:rPr>
      </w:pPr>
      <w:r w:rsidRPr="00680456">
        <w:rPr>
          <w:rFonts w:ascii="Times New Roman" w:hAnsi="Times New Roman"/>
          <w:sz w:val="28"/>
          <w:szCs w:val="28"/>
          <w:lang w:val="uk-UA"/>
        </w:rPr>
        <w:t>на тлі субарахноїдального крововиливу</w:t>
      </w:r>
      <w:r>
        <w:rPr>
          <w:rFonts w:ascii="Times New Roman" w:hAnsi="Times New Roman"/>
          <w:sz w:val="28"/>
          <w:szCs w:val="28"/>
          <w:lang w:val="uk-UA"/>
        </w:rPr>
        <w:t>,</w:t>
      </w:r>
      <w:r w:rsidRPr="00680456">
        <w:rPr>
          <w:rFonts w:ascii="Times New Roman" w:hAnsi="Times New Roman"/>
          <w:sz w:val="28"/>
          <w:szCs w:val="28"/>
          <w:lang w:val="uk-UA"/>
        </w:rPr>
        <w:t>М±m</w:t>
      </w:r>
      <w:r>
        <w:rPr>
          <w:rFonts w:ascii="Times New Roman" w:hAnsi="Times New Roman"/>
          <w:sz w:val="28"/>
          <w:szCs w:val="28"/>
          <w:lang w:val="uk-UA"/>
        </w:rPr>
        <w:t>(</w:t>
      </w:r>
      <w:r w:rsidRPr="00680456">
        <w:rPr>
          <w:rFonts w:ascii="Times New Roman" w:hAnsi="Times New Roman"/>
          <w:sz w:val="28"/>
          <w:szCs w:val="28"/>
          <w:lang w:val="uk-UA"/>
        </w:rPr>
        <w:t>n=15)</w:t>
      </w:r>
    </w:p>
    <w:p w:rsidR="001F0A71" w:rsidRPr="00680456" w:rsidRDefault="001F0A71" w:rsidP="001F0A71">
      <w:pPr>
        <w:widowControl w:val="0"/>
        <w:spacing w:after="0" w:line="240" w:lineRule="auto"/>
        <w:ind w:firstLine="284"/>
        <w:jc w:val="center"/>
        <w:rPr>
          <w:rFonts w:ascii="Times New Roman" w:hAnsi="Times New Roman"/>
          <w:sz w:val="28"/>
          <w:szCs w:val="28"/>
          <w:lang w:val="uk-UA"/>
        </w:rPr>
      </w:pPr>
    </w:p>
    <w:tbl>
      <w:tblPr>
        <w:tblW w:w="15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39"/>
        <w:gridCol w:w="1418"/>
        <w:gridCol w:w="2693"/>
        <w:gridCol w:w="2693"/>
        <w:gridCol w:w="2693"/>
        <w:gridCol w:w="2268"/>
        <w:gridCol w:w="55"/>
      </w:tblGrid>
      <w:tr w:rsidR="001F0A71" w:rsidRPr="00680456" w:rsidTr="001F0A71">
        <w:trPr>
          <w:trHeight w:val="270"/>
          <w:jc w:val="center"/>
        </w:trPr>
        <w:tc>
          <w:tcPr>
            <w:tcW w:w="3539" w:type="dxa"/>
            <w:vMerge w:val="restart"/>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Групи тварин</w:t>
            </w:r>
          </w:p>
        </w:tc>
        <w:tc>
          <w:tcPr>
            <w:tcW w:w="1418" w:type="dxa"/>
            <w:vMerge w:val="restart"/>
            <w:textDirection w:val="btLr"/>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Термінексперименту (доба)</w:t>
            </w:r>
          </w:p>
        </w:tc>
        <w:tc>
          <w:tcPr>
            <w:tcW w:w="10402" w:type="dxa"/>
            <w:gridSpan w:val="5"/>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Показники</w:t>
            </w:r>
          </w:p>
        </w:tc>
      </w:tr>
      <w:tr w:rsidR="001F0A71" w:rsidRPr="00680456" w:rsidTr="001F0A71">
        <w:trPr>
          <w:gridAfter w:val="1"/>
          <w:wAfter w:w="55" w:type="dxa"/>
          <w:trHeight w:val="1865"/>
          <w:jc w:val="center"/>
        </w:trPr>
        <w:tc>
          <w:tcPr>
            <w:tcW w:w="3539" w:type="dxa"/>
            <w:vMerge/>
            <w:vAlign w:val="center"/>
          </w:tcPr>
          <w:p w:rsidR="001F0A71" w:rsidRPr="00680456" w:rsidRDefault="001F0A71" w:rsidP="001F0A71">
            <w:pPr>
              <w:widowControl w:val="0"/>
              <w:spacing w:after="0" w:line="240" w:lineRule="auto"/>
              <w:rPr>
                <w:rFonts w:ascii="Times New Roman" w:hAnsi="Times New Roman"/>
                <w:sz w:val="28"/>
                <w:szCs w:val="28"/>
                <w:lang w:val="uk-UA"/>
              </w:rPr>
            </w:pPr>
          </w:p>
        </w:tc>
        <w:tc>
          <w:tcPr>
            <w:tcW w:w="1418" w:type="dxa"/>
            <w:vMerge/>
            <w:vAlign w:val="center"/>
          </w:tcPr>
          <w:p w:rsidR="001F0A71" w:rsidRPr="00680456" w:rsidRDefault="001F0A71" w:rsidP="001F0A71">
            <w:pPr>
              <w:widowControl w:val="0"/>
              <w:spacing w:after="0" w:line="240" w:lineRule="auto"/>
              <w:rPr>
                <w:rFonts w:ascii="Times New Roman" w:hAnsi="Times New Roman"/>
                <w:sz w:val="28"/>
                <w:szCs w:val="28"/>
                <w:lang w:val="uk-UA"/>
              </w:rPr>
            </w:pP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АТФ, мкмоль / г сухої тканини</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АДФ, мкмоль / г сухої тканини</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АМФ,мкмоль / г сухої тканини</w:t>
            </w:r>
          </w:p>
        </w:tc>
        <w:tc>
          <w:tcPr>
            <w:tcW w:w="226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Енергетичний заряд</w:t>
            </w:r>
          </w:p>
        </w:tc>
      </w:tr>
      <w:tr w:rsidR="001F0A71" w:rsidRPr="00680456" w:rsidTr="001F0A71">
        <w:trPr>
          <w:gridAfter w:val="1"/>
          <w:wAfter w:w="55" w:type="dxa"/>
          <w:trHeight w:val="168"/>
          <w:jc w:val="center"/>
        </w:trPr>
        <w:tc>
          <w:tcPr>
            <w:tcW w:w="3539" w:type="dxa"/>
            <w:vMerge w:val="restart"/>
            <w:vAlign w:val="center"/>
          </w:tcPr>
          <w:p w:rsidR="001F0A71" w:rsidRPr="00680456" w:rsidRDefault="001F0A71" w:rsidP="001F0A71">
            <w:pPr>
              <w:widowControl w:val="0"/>
              <w:spacing w:after="0" w:line="240" w:lineRule="auto"/>
              <w:rPr>
                <w:rFonts w:ascii="Times New Roman" w:hAnsi="Times New Roman"/>
                <w:b/>
                <w:sz w:val="28"/>
                <w:szCs w:val="28"/>
                <w:lang w:val="uk-UA"/>
              </w:rPr>
            </w:pPr>
            <w:r w:rsidRPr="00680456">
              <w:rPr>
                <w:rFonts w:ascii="Times New Roman" w:hAnsi="Times New Roman"/>
                <w:sz w:val="28"/>
                <w:szCs w:val="28"/>
                <w:lang w:val="uk-UA"/>
              </w:rPr>
              <w:t>Псевдооперовані тварини + 0,9% NаСІ, 2 мл/кг</w:t>
            </w:r>
          </w:p>
        </w:tc>
        <w:tc>
          <w:tcPr>
            <w:tcW w:w="141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4</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2,82±0,12</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0,853±0,02</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0,600±0,031</w:t>
            </w:r>
          </w:p>
        </w:tc>
        <w:tc>
          <w:tcPr>
            <w:tcW w:w="226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0,759±0,006</w:t>
            </w:r>
          </w:p>
        </w:tc>
      </w:tr>
      <w:tr w:rsidR="001F0A71" w:rsidRPr="00680456" w:rsidTr="001F0A71">
        <w:trPr>
          <w:gridAfter w:val="1"/>
          <w:wAfter w:w="55" w:type="dxa"/>
          <w:trHeight w:val="258"/>
          <w:jc w:val="center"/>
        </w:trPr>
        <w:tc>
          <w:tcPr>
            <w:tcW w:w="3539" w:type="dxa"/>
            <w:vMerge/>
            <w:vAlign w:val="center"/>
          </w:tcPr>
          <w:p w:rsidR="001F0A71" w:rsidRPr="00680456" w:rsidRDefault="001F0A71" w:rsidP="001F0A71">
            <w:pPr>
              <w:widowControl w:val="0"/>
              <w:spacing w:after="0" w:line="240" w:lineRule="auto"/>
              <w:rPr>
                <w:rFonts w:ascii="Times New Roman" w:hAnsi="Times New Roman"/>
                <w:sz w:val="28"/>
                <w:szCs w:val="28"/>
                <w:lang w:val="uk-UA"/>
              </w:rPr>
            </w:pPr>
          </w:p>
        </w:tc>
        <w:tc>
          <w:tcPr>
            <w:tcW w:w="141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21</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2,90±0,14</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0,850±0,029</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0,578±0,048</w:t>
            </w:r>
          </w:p>
        </w:tc>
        <w:tc>
          <w:tcPr>
            <w:tcW w:w="226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0,769±0,007</w:t>
            </w:r>
          </w:p>
        </w:tc>
      </w:tr>
      <w:tr w:rsidR="001F0A71" w:rsidRPr="00680456" w:rsidTr="001F0A71">
        <w:trPr>
          <w:gridAfter w:val="1"/>
          <w:wAfter w:w="55" w:type="dxa"/>
          <w:trHeight w:val="220"/>
          <w:jc w:val="center"/>
        </w:trPr>
        <w:tc>
          <w:tcPr>
            <w:tcW w:w="3539" w:type="dxa"/>
            <w:vMerge w:val="restart"/>
            <w:vAlign w:val="center"/>
          </w:tcPr>
          <w:p w:rsidR="001F0A71" w:rsidRPr="00680456" w:rsidRDefault="001F0A71" w:rsidP="001F0A71">
            <w:pPr>
              <w:widowControl w:val="0"/>
              <w:spacing w:after="0" w:line="240" w:lineRule="auto"/>
              <w:rPr>
                <w:rFonts w:ascii="Times New Roman" w:hAnsi="Times New Roman"/>
                <w:sz w:val="28"/>
                <w:szCs w:val="28"/>
                <w:lang w:val="uk-UA"/>
              </w:rPr>
            </w:pPr>
            <w:r w:rsidRPr="00680456">
              <w:rPr>
                <w:rFonts w:ascii="Times New Roman" w:hAnsi="Times New Roman"/>
                <w:sz w:val="28"/>
                <w:szCs w:val="28"/>
                <w:lang w:val="uk-UA"/>
              </w:rPr>
              <w:t>САК + 0,9% NаСІ, 2 мл/кг</w:t>
            </w:r>
          </w:p>
        </w:tc>
        <w:tc>
          <w:tcPr>
            <w:tcW w:w="141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4</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1,02±0,10º</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1,95±0,05º</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1,02±0,05º</w:t>
            </w:r>
          </w:p>
        </w:tc>
        <w:tc>
          <w:tcPr>
            <w:tcW w:w="226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0,496±0,009º</w:t>
            </w:r>
          </w:p>
        </w:tc>
      </w:tr>
      <w:tr w:rsidR="001F0A71" w:rsidRPr="00680456" w:rsidTr="001F0A71">
        <w:trPr>
          <w:gridAfter w:val="1"/>
          <w:wAfter w:w="55" w:type="dxa"/>
          <w:trHeight w:val="154"/>
          <w:jc w:val="center"/>
        </w:trPr>
        <w:tc>
          <w:tcPr>
            <w:tcW w:w="3539" w:type="dxa"/>
            <w:vMerge/>
            <w:vAlign w:val="center"/>
          </w:tcPr>
          <w:p w:rsidR="001F0A71" w:rsidRPr="00680456" w:rsidRDefault="001F0A71" w:rsidP="001F0A71">
            <w:pPr>
              <w:widowControl w:val="0"/>
              <w:spacing w:after="0" w:line="240" w:lineRule="auto"/>
              <w:rPr>
                <w:rFonts w:ascii="Times New Roman" w:hAnsi="Times New Roman"/>
                <w:sz w:val="28"/>
                <w:szCs w:val="28"/>
                <w:lang w:val="uk-UA"/>
              </w:rPr>
            </w:pPr>
          </w:p>
        </w:tc>
        <w:tc>
          <w:tcPr>
            <w:tcW w:w="141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21</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1,65±0,09º</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1,78±0,09º</w:t>
            </w:r>
          </w:p>
        </w:tc>
        <w:tc>
          <w:tcPr>
            <w:tcW w:w="2693" w:type="dxa"/>
            <w:vAlign w:val="center"/>
          </w:tcPr>
          <w:p w:rsidR="001F0A71" w:rsidRPr="00680456" w:rsidRDefault="001F0A71" w:rsidP="001F0A71">
            <w:pPr>
              <w:widowControl w:val="0"/>
              <w:spacing w:after="0" w:line="240" w:lineRule="auto"/>
              <w:jc w:val="right"/>
              <w:rPr>
                <w:rFonts w:ascii="Times New Roman" w:hAnsi="Times New Roman"/>
                <w:sz w:val="28"/>
                <w:szCs w:val="28"/>
                <w:lang w:val="uk-UA"/>
              </w:rPr>
            </w:pPr>
            <w:r w:rsidRPr="00680456">
              <w:rPr>
                <w:rFonts w:ascii="Times New Roman" w:hAnsi="Times New Roman"/>
                <w:sz w:val="28"/>
                <w:szCs w:val="28"/>
                <w:lang w:val="uk-UA"/>
              </w:rPr>
              <w:t>0,912±0,060º</w:t>
            </w:r>
          </w:p>
        </w:tc>
        <w:tc>
          <w:tcPr>
            <w:tcW w:w="226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0,585±0,006º</w:t>
            </w:r>
          </w:p>
        </w:tc>
      </w:tr>
      <w:tr w:rsidR="001F0A71" w:rsidRPr="00680456" w:rsidTr="001F0A71">
        <w:trPr>
          <w:gridAfter w:val="1"/>
          <w:wAfter w:w="55" w:type="dxa"/>
          <w:trHeight w:val="70"/>
          <w:jc w:val="center"/>
        </w:trPr>
        <w:tc>
          <w:tcPr>
            <w:tcW w:w="3539" w:type="dxa"/>
            <w:vMerge w:val="restart"/>
            <w:vAlign w:val="center"/>
          </w:tcPr>
          <w:p w:rsidR="001F0A71" w:rsidRPr="00680456" w:rsidRDefault="001F0A71" w:rsidP="001F0A71">
            <w:pPr>
              <w:widowControl w:val="0"/>
              <w:spacing w:after="0" w:line="240" w:lineRule="auto"/>
              <w:rPr>
                <w:rFonts w:ascii="Times New Roman" w:hAnsi="Times New Roman"/>
                <w:b/>
                <w:sz w:val="28"/>
                <w:szCs w:val="28"/>
                <w:lang w:val="uk-UA"/>
              </w:rPr>
            </w:pPr>
            <w:r w:rsidRPr="00680456">
              <w:rPr>
                <w:rFonts w:ascii="Times New Roman" w:hAnsi="Times New Roman"/>
                <w:sz w:val="28"/>
                <w:szCs w:val="28"/>
                <w:lang w:val="uk-UA"/>
              </w:rPr>
              <w:t>САК</w:t>
            </w:r>
            <w:r w:rsidRPr="00680456">
              <w:rPr>
                <w:rFonts w:ascii="Times New Roman" w:hAnsi="Times New Roman"/>
                <w:b/>
                <w:sz w:val="28"/>
                <w:szCs w:val="28"/>
                <w:lang w:val="uk-UA"/>
              </w:rPr>
              <w:t xml:space="preserve"> + </w:t>
            </w:r>
            <w:r w:rsidRPr="00680456">
              <w:rPr>
                <w:rFonts w:ascii="Times New Roman" w:hAnsi="Times New Roman"/>
                <w:sz w:val="28"/>
                <w:szCs w:val="28"/>
                <w:lang w:val="uk-UA"/>
              </w:rPr>
              <w:t>адемол, 2 мг⁄кг</w:t>
            </w:r>
          </w:p>
        </w:tc>
        <w:tc>
          <w:tcPr>
            <w:tcW w:w="141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4</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1,48±0,07º*</w:t>
            </w:r>
            <w:r w:rsidRPr="00680456">
              <w:rPr>
                <w:rFonts w:ascii="Times New Roman" w:hAnsi="Times New Roman"/>
                <w:sz w:val="28"/>
                <w:szCs w:val="28"/>
                <w:vertAlign w:val="superscript"/>
                <w:lang w:val="uk-UA"/>
              </w:rPr>
              <w:t>&amp;#</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1,21±0,09º*</w:t>
            </w:r>
            <w:r w:rsidRPr="00680456">
              <w:rPr>
                <w:rFonts w:ascii="Times New Roman" w:hAnsi="Times New Roman"/>
                <w:sz w:val="28"/>
                <w:szCs w:val="28"/>
                <w:vertAlign w:val="superscript"/>
                <w:lang w:val="uk-UA"/>
              </w:rPr>
              <w:t>&amp;#</w:t>
            </w:r>
          </w:p>
        </w:tc>
        <w:tc>
          <w:tcPr>
            <w:tcW w:w="2693" w:type="dxa"/>
            <w:vAlign w:val="center"/>
          </w:tcPr>
          <w:p w:rsidR="001F0A71" w:rsidRPr="00680456" w:rsidRDefault="001F0A71" w:rsidP="001F0A71">
            <w:pPr>
              <w:widowControl w:val="0"/>
              <w:spacing w:after="0" w:line="240" w:lineRule="auto"/>
              <w:jc w:val="right"/>
              <w:rPr>
                <w:rFonts w:ascii="Times New Roman" w:hAnsi="Times New Roman"/>
                <w:sz w:val="28"/>
                <w:szCs w:val="28"/>
                <w:lang w:val="uk-UA"/>
              </w:rPr>
            </w:pPr>
            <w:r w:rsidRPr="00680456">
              <w:rPr>
                <w:rFonts w:ascii="Times New Roman" w:hAnsi="Times New Roman"/>
                <w:sz w:val="28"/>
                <w:szCs w:val="28"/>
                <w:lang w:val="uk-UA"/>
              </w:rPr>
              <w:t>0,762±0,041º*</w:t>
            </w:r>
            <w:r w:rsidRPr="00680456">
              <w:rPr>
                <w:rFonts w:ascii="Times New Roman" w:hAnsi="Times New Roman"/>
                <w:sz w:val="28"/>
                <w:szCs w:val="28"/>
                <w:vertAlign w:val="superscript"/>
                <w:lang w:val="uk-UA"/>
              </w:rPr>
              <w:t>&amp;#</w:t>
            </w:r>
          </w:p>
        </w:tc>
        <w:tc>
          <w:tcPr>
            <w:tcW w:w="2268" w:type="dxa"/>
            <w:vAlign w:val="center"/>
          </w:tcPr>
          <w:p w:rsidR="001F0A71" w:rsidRPr="00680456" w:rsidRDefault="001F0A71" w:rsidP="001F0A71">
            <w:pPr>
              <w:widowControl w:val="0"/>
              <w:spacing w:after="0" w:line="240" w:lineRule="auto"/>
              <w:jc w:val="right"/>
              <w:rPr>
                <w:rFonts w:ascii="Times New Roman" w:hAnsi="Times New Roman"/>
                <w:sz w:val="28"/>
                <w:szCs w:val="28"/>
                <w:lang w:val="uk-UA"/>
              </w:rPr>
            </w:pPr>
            <w:r w:rsidRPr="00680456">
              <w:rPr>
                <w:rFonts w:ascii="Times New Roman" w:hAnsi="Times New Roman"/>
                <w:sz w:val="28"/>
                <w:szCs w:val="28"/>
                <w:lang w:val="uk-UA"/>
              </w:rPr>
              <w:t>0,605±0,005º*</w:t>
            </w:r>
            <w:r w:rsidRPr="00680456">
              <w:rPr>
                <w:rFonts w:ascii="Times New Roman" w:hAnsi="Times New Roman"/>
                <w:sz w:val="28"/>
                <w:szCs w:val="28"/>
                <w:vertAlign w:val="superscript"/>
                <w:lang w:val="uk-UA"/>
              </w:rPr>
              <w:t>&amp;#</w:t>
            </w:r>
          </w:p>
        </w:tc>
      </w:tr>
      <w:tr w:rsidR="001F0A71" w:rsidRPr="00680456" w:rsidTr="001F0A71">
        <w:trPr>
          <w:gridAfter w:val="1"/>
          <w:wAfter w:w="55" w:type="dxa"/>
          <w:trHeight w:val="270"/>
          <w:jc w:val="center"/>
        </w:trPr>
        <w:tc>
          <w:tcPr>
            <w:tcW w:w="3539" w:type="dxa"/>
            <w:vMerge/>
            <w:vAlign w:val="center"/>
          </w:tcPr>
          <w:p w:rsidR="001F0A71" w:rsidRPr="00680456" w:rsidRDefault="001F0A71" w:rsidP="001F0A71">
            <w:pPr>
              <w:widowControl w:val="0"/>
              <w:spacing w:after="0" w:line="240" w:lineRule="auto"/>
              <w:rPr>
                <w:rFonts w:ascii="Times New Roman" w:hAnsi="Times New Roman"/>
                <w:sz w:val="28"/>
                <w:szCs w:val="28"/>
                <w:lang w:val="uk-UA"/>
              </w:rPr>
            </w:pPr>
          </w:p>
        </w:tc>
        <w:tc>
          <w:tcPr>
            <w:tcW w:w="141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21</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2,72±0,14*</w:t>
            </w:r>
            <w:r w:rsidRPr="00680456">
              <w:rPr>
                <w:rFonts w:ascii="Times New Roman" w:hAnsi="Times New Roman"/>
                <w:sz w:val="28"/>
                <w:szCs w:val="28"/>
                <w:vertAlign w:val="superscript"/>
                <w:lang w:val="uk-UA"/>
              </w:rPr>
              <w:t>&amp;#</w:t>
            </w:r>
          </w:p>
        </w:tc>
        <w:tc>
          <w:tcPr>
            <w:tcW w:w="2693" w:type="dxa"/>
            <w:vAlign w:val="center"/>
          </w:tcPr>
          <w:p w:rsidR="001F0A71" w:rsidRPr="00680456" w:rsidRDefault="001F0A71" w:rsidP="001F0A71">
            <w:pPr>
              <w:widowControl w:val="0"/>
              <w:spacing w:after="0" w:line="240" w:lineRule="auto"/>
              <w:jc w:val="right"/>
              <w:rPr>
                <w:rFonts w:ascii="Times New Roman" w:hAnsi="Times New Roman"/>
                <w:sz w:val="28"/>
                <w:szCs w:val="28"/>
                <w:lang w:val="uk-UA"/>
              </w:rPr>
            </w:pPr>
            <w:r w:rsidRPr="00680456">
              <w:rPr>
                <w:rFonts w:ascii="Times New Roman" w:hAnsi="Times New Roman"/>
                <w:sz w:val="28"/>
                <w:szCs w:val="28"/>
                <w:lang w:val="uk-UA"/>
              </w:rPr>
              <w:t>0,936±0,075*</w:t>
            </w:r>
            <w:r w:rsidRPr="00680456">
              <w:rPr>
                <w:rFonts w:ascii="Times New Roman" w:hAnsi="Times New Roman"/>
                <w:sz w:val="28"/>
                <w:szCs w:val="28"/>
                <w:vertAlign w:val="superscript"/>
                <w:lang w:val="uk-UA"/>
              </w:rPr>
              <w:t>&amp;#</w:t>
            </w:r>
          </w:p>
        </w:tc>
        <w:tc>
          <w:tcPr>
            <w:tcW w:w="2693" w:type="dxa"/>
            <w:vAlign w:val="center"/>
          </w:tcPr>
          <w:p w:rsidR="001F0A71" w:rsidRPr="00680456" w:rsidRDefault="001F0A71" w:rsidP="001F0A71">
            <w:pPr>
              <w:widowControl w:val="0"/>
              <w:spacing w:after="0" w:line="240" w:lineRule="auto"/>
              <w:jc w:val="right"/>
              <w:rPr>
                <w:rFonts w:ascii="Times New Roman" w:hAnsi="Times New Roman"/>
                <w:sz w:val="28"/>
                <w:szCs w:val="28"/>
                <w:lang w:val="uk-UA"/>
              </w:rPr>
            </w:pPr>
            <w:r w:rsidRPr="00680456">
              <w:rPr>
                <w:rFonts w:ascii="Times New Roman" w:hAnsi="Times New Roman"/>
                <w:sz w:val="28"/>
                <w:szCs w:val="28"/>
                <w:lang w:val="uk-UA"/>
              </w:rPr>
              <w:t>0,602±0,039*</w:t>
            </w:r>
            <w:r w:rsidRPr="00680456">
              <w:rPr>
                <w:rFonts w:ascii="Times New Roman" w:hAnsi="Times New Roman"/>
                <w:sz w:val="28"/>
                <w:szCs w:val="28"/>
                <w:vertAlign w:val="superscript"/>
                <w:lang w:val="uk-UA"/>
              </w:rPr>
              <w:t>&amp;#</w:t>
            </w:r>
          </w:p>
        </w:tc>
        <w:tc>
          <w:tcPr>
            <w:tcW w:w="2268" w:type="dxa"/>
            <w:vAlign w:val="center"/>
          </w:tcPr>
          <w:p w:rsidR="001F0A71" w:rsidRPr="00680456" w:rsidRDefault="001F0A71" w:rsidP="001F0A71">
            <w:pPr>
              <w:widowControl w:val="0"/>
              <w:spacing w:after="0" w:line="240" w:lineRule="auto"/>
              <w:jc w:val="right"/>
              <w:rPr>
                <w:rFonts w:ascii="Times New Roman" w:hAnsi="Times New Roman"/>
                <w:sz w:val="28"/>
                <w:szCs w:val="28"/>
                <w:lang w:val="uk-UA"/>
              </w:rPr>
            </w:pPr>
            <w:r w:rsidRPr="00680456">
              <w:rPr>
                <w:rFonts w:ascii="Times New Roman" w:hAnsi="Times New Roman"/>
                <w:sz w:val="28"/>
                <w:szCs w:val="28"/>
                <w:lang w:val="uk-UA"/>
              </w:rPr>
              <w:t>0,751±0,008*</w:t>
            </w:r>
            <w:r w:rsidRPr="00680456">
              <w:rPr>
                <w:rFonts w:ascii="Times New Roman" w:hAnsi="Times New Roman"/>
                <w:sz w:val="28"/>
                <w:szCs w:val="28"/>
                <w:vertAlign w:val="superscript"/>
                <w:lang w:val="uk-UA"/>
              </w:rPr>
              <w:t>&amp;#</w:t>
            </w:r>
          </w:p>
        </w:tc>
      </w:tr>
      <w:tr w:rsidR="001F0A71" w:rsidRPr="00680456" w:rsidTr="001F0A71">
        <w:trPr>
          <w:gridAfter w:val="1"/>
          <w:wAfter w:w="55" w:type="dxa"/>
          <w:trHeight w:val="70"/>
          <w:jc w:val="center"/>
        </w:trPr>
        <w:tc>
          <w:tcPr>
            <w:tcW w:w="3539" w:type="dxa"/>
            <w:vMerge w:val="restart"/>
            <w:vAlign w:val="center"/>
          </w:tcPr>
          <w:p w:rsidR="001F0A71" w:rsidRPr="00680456" w:rsidRDefault="001F0A71" w:rsidP="001F0A71">
            <w:pPr>
              <w:widowControl w:val="0"/>
              <w:spacing w:after="0" w:line="240" w:lineRule="auto"/>
              <w:rPr>
                <w:rFonts w:ascii="Times New Roman" w:hAnsi="Times New Roman"/>
                <w:sz w:val="28"/>
                <w:szCs w:val="28"/>
                <w:lang w:val="uk-UA"/>
              </w:rPr>
            </w:pPr>
            <w:r w:rsidRPr="00680456">
              <w:rPr>
                <w:rFonts w:ascii="Times New Roman" w:hAnsi="Times New Roman"/>
                <w:sz w:val="28"/>
                <w:szCs w:val="28"/>
                <w:lang w:val="uk-UA"/>
              </w:rPr>
              <w:t>САК + німодипін,30 мкг⁄кг</w:t>
            </w:r>
          </w:p>
        </w:tc>
        <w:tc>
          <w:tcPr>
            <w:tcW w:w="141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4</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1,44±0,08º*</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1,26 ±0,08º*</w:t>
            </w:r>
          </w:p>
        </w:tc>
        <w:tc>
          <w:tcPr>
            <w:tcW w:w="2693" w:type="dxa"/>
            <w:vAlign w:val="center"/>
          </w:tcPr>
          <w:p w:rsidR="001F0A71" w:rsidRPr="00680456" w:rsidRDefault="001F0A71" w:rsidP="001F0A71">
            <w:pPr>
              <w:widowControl w:val="0"/>
              <w:spacing w:after="0" w:line="240" w:lineRule="auto"/>
              <w:jc w:val="right"/>
              <w:rPr>
                <w:rFonts w:ascii="Times New Roman" w:hAnsi="Times New Roman"/>
                <w:sz w:val="28"/>
                <w:szCs w:val="28"/>
                <w:lang w:val="uk-UA"/>
              </w:rPr>
            </w:pPr>
            <w:r w:rsidRPr="00680456">
              <w:rPr>
                <w:rFonts w:ascii="Times New Roman" w:hAnsi="Times New Roman"/>
                <w:sz w:val="28"/>
                <w:szCs w:val="28"/>
                <w:lang w:val="uk-UA"/>
              </w:rPr>
              <w:t>0,746±0,034º*</w:t>
            </w:r>
          </w:p>
        </w:tc>
        <w:tc>
          <w:tcPr>
            <w:tcW w:w="226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0,600±0,008º*</w:t>
            </w:r>
          </w:p>
        </w:tc>
      </w:tr>
      <w:tr w:rsidR="001F0A71" w:rsidRPr="00680456" w:rsidTr="001F0A71">
        <w:trPr>
          <w:gridAfter w:val="1"/>
          <w:wAfter w:w="55" w:type="dxa"/>
          <w:trHeight w:val="415"/>
          <w:jc w:val="center"/>
        </w:trPr>
        <w:tc>
          <w:tcPr>
            <w:tcW w:w="3539" w:type="dxa"/>
            <w:vMerge/>
            <w:vAlign w:val="center"/>
          </w:tcPr>
          <w:p w:rsidR="001F0A71" w:rsidRPr="00680456" w:rsidRDefault="001F0A71" w:rsidP="001F0A71">
            <w:pPr>
              <w:widowControl w:val="0"/>
              <w:spacing w:after="0" w:line="240" w:lineRule="auto"/>
              <w:rPr>
                <w:rFonts w:ascii="Times New Roman" w:hAnsi="Times New Roman"/>
                <w:sz w:val="28"/>
                <w:szCs w:val="28"/>
                <w:lang w:val="uk-UA"/>
              </w:rPr>
            </w:pPr>
          </w:p>
        </w:tc>
        <w:tc>
          <w:tcPr>
            <w:tcW w:w="141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21</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2,78±0,13*</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0,910±0,072*</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0,591±0,048*</w:t>
            </w:r>
          </w:p>
        </w:tc>
        <w:tc>
          <w:tcPr>
            <w:tcW w:w="226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0,759±0,007*</w:t>
            </w:r>
          </w:p>
        </w:tc>
      </w:tr>
      <w:tr w:rsidR="001F0A71" w:rsidRPr="00680456" w:rsidTr="001F0A71">
        <w:trPr>
          <w:gridAfter w:val="1"/>
          <w:wAfter w:w="55" w:type="dxa"/>
          <w:trHeight w:val="270"/>
          <w:jc w:val="center"/>
        </w:trPr>
        <w:tc>
          <w:tcPr>
            <w:tcW w:w="3539" w:type="dxa"/>
            <w:vMerge w:val="restart"/>
            <w:vAlign w:val="center"/>
          </w:tcPr>
          <w:p w:rsidR="001F0A71" w:rsidRPr="00680456" w:rsidRDefault="001F0A71" w:rsidP="001F0A71">
            <w:pPr>
              <w:widowControl w:val="0"/>
              <w:spacing w:after="0" w:line="240" w:lineRule="auto"/>
              <w:rPr>
                <w:rFonts w:ascii="Times New Roman" w:hAnsi="Times New Roman"/>
                <w:sz w:val="28"/>
                <w:szCs w:val="28"/>
                <w:lang w:val="uk-UA"/>
              </w:rPr>
            </w:pPr>
            <w:r w:rsidRPr="00680456">
              <w:rPr>
                <w:rFonts w:ascii="Times New Roman" w:hAnsi="Times New Roman"/>
                <w:sz w:val="28"/>
                <w:szCs w:val="28"/>
                <w:lang w:val="uk-UA"/>
              </w:rPr>
              <w:t>САК + амантадину сульфат, 10 мг⁄кг</w:t>
            </w:r>
          </w:p>
        </w:tc>
        <w:tc>
          <w:tcPr>
            <w:tcW w:w="141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4</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1,24±0,05º*</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1,48±0,06º*</w:t>
            </w:r>
          </w:p>
        </w:tc>
        <w:tc>
          <w:tcPr>
            <w:tcW w:w="2693" w:type="dxa"/>
            <w:vAlign w:val="center"/>
          </w:tcPr>
          <w:p w:rsidR="001F0A71" w:rsidRPr="00680456" w:rsidRDefault="001F0A71" w:rsidP="001F0A71">
            <w:pPr>
              <w:widowControl w:val="0"/>
              <w:spacing w:after="0" w:line="240" w:lineRule="auto"/>
              <w:ind w:right="-158"/>
              <w:jc w:val="center"/>
              <w:rPr>
                <w:rFonts w:ascii="Times New Roman" w:hAnsi="Times New Roman"/>
                <w:sz w:val="28"/>
                <w:szCs w:val="28"/>
                <w:lang w:val="uk-UA"/>
              </w:rPr>
            </w:pPr>
            <w:r w:rsidRPr="00680456">
              <w:rPr>
                <w:rFonts w:ascii="Times New Roman" w:hAnsi="Times New Roman"/>
                <w:sz w:val="28"/>
                <w:szCs w:val="28"/>
                <w:lang w:val="uk-UA"/>
              </w:rPr>
              <w:t>0,878±0,033º*</w:t>
            </w:r>
          </w:p>
        </w:tc>
        <w:tc>
          <w:tcPr>
            <w:tcW w:w="226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0,553±0,005º*</w:t>
            </w:r>
          </w:p>
        </w:tc>
      </w:tr>
      <w:tr w:rsidR="001F0A71" w:rsidRPr="00680456" w:rsidTr="001F0A71">
        <w:trPr>
          <w:gridAfter w:val="1"/>
          <w:wAfter w:w="55" w:type="dxa"/>
          <w:trHeight w:val="270"/>
          <w:jc w:val="center"/>
        </w:trPr>
        <w:tc>
          <w:tcPr>
            <w:tcW w:w="3539" w:type="dxa"/>
            <w:vMerge/>
            <w:vAlign w:val="center"/>
          </w:tcPr>
          <w:p w:rsidR="001F0A71" w:rsidRPr="00680456" w:rsidRDefault="001F0A71" w:rsidP="001F0A71">
            <w:pPr>
              <w:widowControl w:val="0"/>
              <w:spacing w:after="0" w:line="240" w:lineRule="auto"/>
              <w:rPr>
                <w:rFonts w:ascii="Times New Roman" w:hAnsi="Times New Roman"/>
                <w:sz w:val="28"/>
                <w:szCs w:val="28"/>
                <w:lang w:val="uk-UA"/>
              </w:rPr>
            </w:pPr>
          </w:p>
        </w:tc>
        <w:tc>
          <w:tcPr>
            <w:tcW w:w="141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21</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2,31±0,10º*</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1,18±0,08º*</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 xml:space="preserve"> 0,701±0,020º*</w:t>
            </w:r>
          </w:p>
        </w:tc>
        <w:tc>
          <w:tcPr>
            <w:tcW w:w="226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0,692±0,004º*</w:t>
            </w:r>
          </w:p>
        </w:tc>
      </w:tr>
      <w:tr w:rsidR="001F0A71" w:rsidRPr="00680456" w:rsidTr="001F0A71">
        <w:trPr>
          <w:gridAfter w:val="1"/>
          <w:wAfter w:w="55" w:type="dxa"/>
          <w:trHeight w:val="451"/>
          <w:jc w:val="center"/>
        </w:trPr>
        <w:tc>
          <w:tcPr>
            <w:tcW w:w="3539" w:type="dxa"/>
            <w:vMerge w:val="restart"/>
            <w:vAlign w:val="center"/>
          </w:tcPr>
          <w:p w:rsidR="001F0A71" w:rsidRPr="00680456" w:rsidRDefault="001F0A71" w:rsidP="001F0A71">
            <w:pPr>
              <w:widowControl w:val="0"/>
              <w:spacing w:after="0" w:line="240" w:lineRule="auto"/>
              <w:rPr>
                <w:rFonts w:ascii="Times New Roman" w:hAnsi="Times New Roman"/>
                <w:b/>
                <w:sz w:val="28"/>
                <w:szCs w:val="28"/>
                <w:lang w:val="uk-UA"/>
              </w:rPr>
            </w:pPr>
            <w:r w:rsidRPr="00680456">
              <w:rPr>
                <w:rFonts w:ascii="Times New Roman" w:hAnsi="Times New Roman"/>
                <w:sz w:val="28"/>
                <w:szCs w:val="28"/>
                <w:lang w:val="uk-UA"/>
              </w:rPr>
              <w:t>САК + магнію сульфат, 250 мг⁄кг</w:t>
            </w:r>
          </w:p>
        </w:tc>
        <w:tc>
          <w:tcPr>
            <w:tcW w:w="141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4</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1,12±0,09º</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1,72±0,10º</w:t>
            </w:r>
          </w:p>
        </w:tc>
        <w:tc>
          <w:tcPr>
            <w:tcW w:w="2693" w:type="dxa"/>
            <w:vAlign w:val="center"/>
          </w:tcPr>
          <w:p w:rsidR="001F0A71" w:rsidRPr="00680456" w:rsidRDefault="001F0A71" w:rsidP="001F0A71">
            <w:pPr>
              <w:widowControl w:val="0"/>
              <w:spacing w:after="0" w:line="240" w:lineRule="auto"/>
              <w:ind w:right="-158"/>
              <w:jc w:val="center"/>
              <w:rPr>
                <w:rFonts w:ascii="Times New Roman" w:hAnsi="Times New Roman"/>
                <w:sz w:val="28"/>
                <w:szCs w:val="28"/>
                <w:lang w:val="uk-UA"/>
              </w:rPr>
            </w:pPr>
            <w:r w:rsidRPr="00680456">
              <w:rPr>
                <w:rFonts w:ascii="Times New Roman" w:hAnsi="Times New Roman"/>
                <w:sz w:val="28"/>
                <w:szCs w:val="28"/>
                <w:lang w:val="uk-UA"/>
              </w:rPr>
              <w:t>0,940±0,043º</w:t>
            </w:r>
          </w:p>
        </w:tc>
        <w:tc>
          <w:tcPr>
            <w:tcW w:w="226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0,520±0,008º*</w:t>
            </w:r>
          </w:p>
        </w:tc>
      </w:tr>
      <w:tr w:rsidR="001F0A71" w:rsidRPr="00680456" w:rsidTr="001F0A71">
        <w:trPr>
          <w:gridAfter w:val="1"/>
          <w:wAfter w:w="55" w:type="dxa"/>
          <w:trHeight w:val="270"/>
          <w:jc w:val="center"/>
        </w:trPr>
        <w:tc>
          <w:tcPr>
            <w:tcW w:w="3539" w:type="dxa"/>
            <w:vMerge/>
            <w:vAlign w:val="center"/>
          </w:tcPr>
          <w:p w:rsidR="001F0A71" w:rsidRPr="00680456" w:rsidRDefault="001F0A71" w:rsidP="001F0A71">
            <w:pPr>
              <w:widowControl w:val="0"/>
              <w:spacing w:after="0" w:line="240" w:lineRule="auto"/>
              <w:rPr>
                <w:rFonts w:ascii="Times New Roman" w:hAnsi="Times New Roman"/>
                <w:sz w:val="28"/>
                <w:szCs w:val="28"/>
                <w:lang w:val="uk-UA"/>
              </w:rPr>
            </w:pPr>
          </w:p>
        </w:tc>
        <w:tc>
          <w:tcPr>
            <w:tcW w:w="141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21</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1,95±0,08º*</w:t>
            </w:r>
          </w:p>
        </w:tc>
        <w:tc>
          <w:tcPr>
            <w:tcW w:w="2693"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1,50±0,06º*</w:t>
            </w:r>
          </w:p>
        </w:tc>
        <w:tc>
          <w:tcPr>
            <w:tcW w:w="2693" w:type="dxa"/>
            <w:vAlign w:val="center"/>
          </w:tcPr>
          <w:p w:rsidR="001F0A71" w:rsidRPr="00680456" w:rsidRDefault="001F0A71" w:rsidP="001F0A71">
            <w:pPr>
              <w:widowControl w:val="0"/>
              <w:spacing w:after="0" w:line="240" w:lineRule="auto"/>
              <w:ind w:right="-158"/>
              <w:jc w:val="center"/>
              <w:rPr>
                <w:rFonts w:ascii="Times New Roman" w:hAnsi="Times New Roman"/>
                <w:sz w:val="28"/>
                <w:szCs w:val="28"/>
                <w:lang w:val="uk-UA"/>
              </w:rPr>
            </w:pPr>
            <w:r w:rsidRPr="00680456">
              <w:rPr>
                <w:rFonts w:ascii="Times New Roman" w:hAnsi="Times New Roman"/>
                <w:sz w:val="28"/>
                <w:szCs w:val="28"/>
                <w:lang w:val="uk-UA"/>
              </w:rPr>
              <w:t>0,770±0,019º*</w:t>
            </w:r>
          </w:p>
        </w:tc>
        <w:tc>
          <w:tcPr>
            <w:tcW w:w="2268" w:type="dxa"/>
            <w:vAlign w:val="center"/>
          </w:tcPr>
          <w:p w:rsidR="001F0A71" w:rsidRPr="00680456" w:rsidRDefault="001F0A71" w:rsidP="001F0A71">
            <w:pPr>
              <w:widowControl w:val="0"/>
              <w:spacing w:after="0" w:line="240" w:lineRule="auto"/>
              <w:jc w:val="center"/>
              <w:rPr>
                <w:rFonts w:ascii="Times New Roman" w:hAnsi="Times New Roman"/>
                <w:sz w:val="28"/>
                <w:szCs w:val="28"/>
                <w:lang w:val="uk-UA"/>
              </w:rPr>
            </w:pPr>
            <w:r w:rsidRPr="00680456">
              <w:rPr>
                <w:rFonts w:ascii="Times New Roman" w:hAnsi="Times New Roman"/>
                <w:sz w:val="28"/>
                <w:szCs w:val="28"/>
                <w:lang w:val="uk-UA"/>
              </w:rPr>
              <w:t>0,639±0,004º*</w:t>
            </w:r>
          </w:p>
        </w:tc>
      </w:tr>
    </w:tbl>
    <w:p w:rsidR="001F0A71" w:rsidRPr="00680456" w:rsidRDefault="001F0A71" w:rsidP="001F0A71">
      <w:pPr>
        <w:widowControl w:val="0"/>
        <w:tabs>
          <w:tab w:val="left" w:pos="1080"/>
        </w:tabs>
        <w:spacing w:after="0" w:line="240" w:lineRule="auto"/>
        <w:ind w:firstLine="284"/>
        <w:jc w:val="both"/>
        <w:rPr>
          <w:rFonts w:ascii="Times New Roman" w:hAnsi="Times New Roman"/>
          <w:sz w:val="28"/>
          <w:szCs w:val="28"/>
          <w:lang w:val="uk-UA"/>
        </w:rPr>
      </w:pPr>
      <w:r w:rsidRPr="00680456">
        <w:rPr>
          <w:rFonts w:ascii="Times New Roman" w:hAnsi="Times New Roman"/>
          <w:sz w:val="28"/>
          <w:szCs w:val="28"/>
          <w:lang w:val="uk-UA"/>
        </w:rPr>
        <w:t>Примітки:</w:t>
      </w:r>
    </w:p>
    <w:p w:rsidR="001F0A71" w:rsidRPr="00E7050C" w:rsidRDefault="001F0A71" w:rsidP="001F0A71">
      <w:pPr>
        <w:pStyle w:val="a5"/>
        <w:widowControl w:val="0"/>
        <w:numPr>
          <w:ilvl w:val="0"/>
          <w:numId w:val="26"/>
        </w:numPr>
        <w:tabs>
          <w:tab w:val="left" w:pos="993"/>
          <w:tab w:val="left" w:pos="1701"/>
        </w:tabs>
        <w:spacing w:after="0" w:line="240" w:lineRule="auto"/>
        <w:ind w:left="0" w:firstLine="644"/>
        <w:jc w:val="both"/>
        <w:rPr>
          <w:rFonts w:ascii="Times New Roman" w:hAnsi="Times New Roman"/>
          <w:sz w:val="28"/>
          <w:szCs w:val="28"/>
          <w:lang w:val="uk-UA"/>
        </w:rPr>
      </w:pPr>
      <w:r w:rsidRPr="00E7050C">
        <w:rPr>
          <w:rFonts w:ascii="Times New Roman" w:hAnsi="Times New Roman"/>
          <w:sz w:val="28"/>
          <w:szCs w:val="28"/>
          <w:lang w:val="uk-UA"/>
        </w:rPr>
        <w:t>º – р&lt;0,05 відносно псевдооперованих тварин;</w:t>
      </w:r>
    </w:p>
    <w:p w:rsidR="001F0A71" w:rsidRPr="00E7050C" w:rsidRDefault="001F0A71" w:rsidP="001F0A71">
      <w:pPr>
        <w:pStyle w:val="a5"/>
        <w:widowControl w:val="0"/>
        <w:numPr>
          <w:ilvl w:val="0"/>
          <w:numId w:val="26"/>
        </w:numPr>
        <w:tabs>
          <w:tab w:val="left" w:pos="993"/>
        </w:tabs>
        <w:spacing w:after="0" w:line="240" w:lineRule="auto"/>
        <w:ind w:left="0" w:firstLine="644"/>
        <w:jc w:val="both"/>
        <w:rPr>
          <w:rFonts w:ascii="Times New Roman" w:hAnsi="Times New Roman"/>
          <w:sz w:val="28"/>
          <w:szCs w:val="28"/>
          <w:lang w:val="uk-UA"/>
        </w:rPr>
      </w:pPr>
      <w:r w:rsidRPr="00E7050C">
        <w:rPr>
          <w:rFonts w:ascii="Times New Roman" w:hAnsi="Times New Roman"/>
          <w:sz w:val="28"/>
          <w:szCs w:val="28"/>
          <w:lang w:val="uk-UA"/>
        </w:rPr>
        <w:t>* – р&lt;0,05 відносно контрольної патології;</w:t>
      </w:r>
    </w:p>
    <w:p w:rsidR="001F0A71" w:rsidRPr="00E7050C" w:rsidRDefault="001F0A71" w:rsidP="001F0A71">
      <w:pPr>
        <w:pStyle w:val="a5"/>
        <w:widowControl w:val="0"/>
        <w:numPr>
          <w:ilvl w:val="0"/>
          <w:numId w:val="26"/>
        </w:numPr>
        <w:tabs>
          <w:tab w:val="left" w:pos="993"/>
        </w:tabs>
        <w:spacing w:after="0" w:line="240" w:lineRule="auto"/>
        <w:ind w:left="0" w:firstLine="644"/>
        <w:jc w:val="both"/>
        <w:rPr>
          <w:rFonts w:ascii="Times New Roman" w:hAnsi="Times New Roman"/>
          <w:sz w:val="28"/>
          <w:szCs w:val="28"/>
          <w:lang w:val="uk-UA"/>
        </w:rPr>
      </w:pPr>
      <w:r w:rsidRPr="00E7050C">
        <w:rPr>
          <w:rFonts w:ascii="Times New Roman" w:hAnsi="Times New Roman"/>
          <w:sz w:val="28"/>
          <w:szCs w:val="28"/>
          <w:vertAlign w:val="superscript"/>
          <w:lang w:val="uk-UA"/>
        </w:rPr>
        <w:t xml:space="preserve"># </w:t>
      </w:r>
      <w:r w:rsidRPr="00E7050C">
        <w:rPr>
          <w:rFonts w:ascii="Times New Roman" w:hAnsi="Times New Roman"/>
          <w:sz w:val="28"/>
          <w:szCs w:val="28"/>
          <w:lang w:val="uk-UA"/>
        </w:rPr>
        <w:t>– р&lt;0,05 у відповідні строки між адемолом та магнію сульфатом;</w:t>
      </w:r>
    </w:p>
    <w:p w:rsidR="001F0A71" w:rsidRPr="00E7050C" w:rsidRDefault="001F0A71" w:rsidP="001F0A71">
      <w:pPr>
        <w:pStyle w:val="a5"/>
        <w:widowControl w:val="0"/>
        <w:numPr>
          <w:ilvl w:val="0"/>
          <w:numId w:val="26"/>
        </w:numPr>
        <w:tabs>
          <w:tab w:val="left" w:pos="993"/>
        </w:tabs>
        <w:spacing w:after="0" w:line="240" w:lineRule="auto"/>
        <w:ind w:left="0" w:firstLine="644"/>
        <w:jc w:val="both"/>
        <w:rPr>
          <w:rFonts w:ascii="Times New Roman" w:hAnsi="Times New Roman"/>
          <w:sz w:val="28"/>
          <w:szCs w:val="28"/>
          <w:lang w:val="uk-UA"/>
        </w:rPr>
      </w:pPr>
      <w:r w:rsidRPr="00E7050C">
        <w:rPr>
          <w:rFonts w:ascii="Times New Roman" w:hAnsi="Times New Roman"/>
          <w:sz w:val="28"/>
          <w:szCs w:val="28"/>
          <w:vertAlign w:val="superscript"/>
          <w:lang w:val="uk-UA"/>
        </w:rPr>
        <w:t>&amp;</w:t>
      </w:r>
      <w:r w:rsidRPr="00E7050C">
        <w:rPr>
          <w:rFonts w:ascii="Times New Roman" w:hAnsi="Times New Roman"/>
          <w:sz w:val="28"/>
          <w:szCs w:val="28"/>
          <w:lang w:val="uk-UA"/>
        </w:rPr>
        <w:t>– р&lt;0,05 у відповідні строки між адемолом та амантадином.</w:t>
      </w:r>
    </w:p>
    <w:p w:rsidR="001F0A71" w:rsidRDefault="001F0A71" w:rsidP="001F0A71">
      <w:pPr>
        <w:widowControl w:val="0"/>
        <w:tabs>
          <w:tab w:val="left" w:pos="1276"/>
        </w:tabs>
        <w:spacing w:after="0" w:line="360" w:lineRule="auto"/>
        <w:ind w:firstLine="284"/>
        <w:jc w:val="both"/>
        <w:rPr>
          <w:rFonts w:ascii="Times New Roman" w:hAnsi="Times New Roman"/>
          <w:sz w:val="28"/>
          <w:szCs w:val="28"/>
          <w:lang w:val="uk-UA"/>
        </w:rPr>
        <w:sectPr w:rsidR="001F0A71" w:rsidSect="001F0A71">
          <w:pgSz w:w="16838" w:h="11906" w:orient="landscape"/>
          <w:pgMar w:top="1134" w:right="1134" w:bottom="567" w:left="1134" w:header="708" w:footer="708" w:gutter="0"/>
          <w:cols w:space="708"/>
          <w:docGrid w:linePitch="360"/>
        </w:sectPr>
      </w:pPr>
    </w:p>
    <w:p w:rsidR="001F0A71" w:rsidRPr="00F42677" w:rsidRDefault="001F0A7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lastRenderedPageBreak/>
        <w:t xml:space="preserve">Терапія експериментального ВМК досліджуваними препаратами достовірно зменшувало масштабність порушень обміну аденілових нуклеотидів, індукованих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42677">
        <w:rPr>
          <w:rFonts w:ascii="Times New Roman" w:hAnsi="Times New Roman"/>
          <w:sz w:val="28"/>
          <w:szCs w:val="28"/>
          <w:lang w:val="uk-UA"/>
        </w:rPr>
        <w:t xml:space="preserve">, що супроводжувалось збільшенням енергетичного потенціалу головного мозку, особливо на 21-шу добу після початку лікування. </w:t>
      </w:r>
    </w:p>
    <w:p w:rsidR="001F0A71" w:rsidRPr="00F42677" w:rsidRDefault="001F0A7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 xml:space="preserve">Так, після застосування найбільш ефективних із них: німодипіну, адемолу та амантадину сульфату упродовж 4-х діб, відмічалось збільшення вмісту АТФ (в середньому на 41,2, 45,1 та 21,6 % відповідно), енергетичного заряду (в середньому на 20,9, 21,9 та 10,9 % відповідно), зменшення рівня АДФ (в середньому на 35,5, 38,0 та 24,2 % відповідно) і АМФ (в середньому на 26,9, 25,3 та 13,9 % відповідно), порівняно із тваринами групи контрольної патології. У цей же час, аналогічна за дизайном терапія САК розчином магнію сульфатом, не викликало достовірних змін. </w:t>
      </w:r>
    </w:p>
    <w:p w:rsidR="001F0A71" w:rsidRPr="00F42677" w:rsidRDefault="001F0A7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Ще більшою мірою (при р&lt;0,05), сприяло відновленню балансу в обміні аденілових нуклеотидів у тканинах головного мозку застосування досліджуваних речовин у</w:t>
      </w:r>
      <w:r w:rsidR="008024B4">
        <w:rPr>
          <w:rFonts w:ascii="Times New Roman" w:hAnsi="Times New Roman"/>
          <w:sz w:val="28"/>
          <w:szCs w:val="28"/>
          <w:lang w:val="uk-UA"/>
        </w:rPr>
        <w:t>продовж 21-ї доби САК. Найбільша</w:t>
      </w:r>
      <w:r w:rsidRPr="00F42677">
        <w:rPr>
          <w:rFonts w:ascii="Times New Roman" w:hAnsi="Times New Roman"/>
          <w:sz w:val="28"/>
          <w:szCs w:val="28"/>
          <w:lang w:val="uk-UA"/>
        </w:rPr>
        <w:t xml:space="preserve"> дія реєст</w:t>
      </w:r>
      <w:r w:rsidR="005D16F8">
        <w:rPr>
          <w:rFonts w:ascii="Times New Roman" w:hAnsi="Times New Roman"/>
          <w:sz w:val="28"/>
          <w:szCs w:val="28"/>
          <w:lang w:val="uk-UA"/>
        </w:rPr>
        <w:t>рувалась у адемолу та німодипіну</w:t>
      </w:r>
      <w:r w:rsidR="008024B4">
        <w:rPr>
          <w:rFonts w:ascii="Times New Roman" w:hAnsi="Times New Roman"/>
          <w:sz w:val="28"/>
          <w:szCs w:val="28"/>
          <w:lang w:val="uk-UA"/>
        </w:rPr>
        <w:t xml:space="preserve">, </w:t>
      </w:r>
      <w:r w:rsidRPr="00F42677">
        <w:rPr>
          <w:rFonts w:ascii="Times New Roman" w:hAnsi="Times New Roman"/>
          <w:sz w:val="28"/>
          <w:szCs w:val="28"/>
          <w:lang w:val="uk-UA"/>
        </w:rPr>
        <w:t xml:space="preserve"> менша – у амантадину сульфату, а найменша – у магнію сульфату. </w:t>
      </w:r>
    </w:p>
    <w:p w:rsidR="001F0A71" w:rsidRDefault="001F0A7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 xml:space="preserve">За умов геморагічного ураження мозку у ньому виявлено зміни у співвідношенні процесів аеробного та анаеробного розщеплення глюкози (табл. 6.2): зареєстровано статистично вірогідне падіння вмісту пірувату (в середньому на 60,3 та 51,0 %, відповідно на 4-ту і 21-шу добу експерименту), збільшення вмісту лактату (в середньому у 4,33 та 3,76 рази відповідно на 4-ту і 21-шу добу експерименту) та співвідношення лактат / піруват (в середньому у 11,3 та 7,8 рази відповідно на 4-ту і 21-шу добу експерименту). Тобто, за умов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42677">
        <w:rPr>
          <w:rFonts w:ascii="Times New Roman" w:hAnsi="Times New Roman"/>
          <w:sz w:val="28"/>
          <w:szCs w:val="28"/>
          <w:lang w:val="uk-UA"/>
        </w:rPr>
        <w:t xml:space="preserve"> зменшується активність аеробного гліколізу та активується анаеробний шлях метаболізму глюкози, що супроводжується розвитком лактатацидозу в клітинах головного мозку (табл. 6.2). </w:t>
      </w:r>
    </w:p>
    <w:p w:rsidR="001F0A71" w:rsidRPr="00F42677" w:rsidRDefault="001F0A7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 xml:space="preserve">Курсове застосування досліджуваних нейропротекторів при </w:t>
      </w:r>
      <w:r w:rsidR="008024B4">
        <w:rPr>
          <w:rFonts w:ascii="Times New Roman" w:hAnsi="Times New Roman"/>
          <w:sz w:val="28"/>
          <w:szCs w:val="28"/>
          <w:lang w:val="uk-UA"/>
        </w:rPr>
        <w:t>ВМК, крім магнію сульфату,</w:t>
      </w:r>
      <w:r w:rsidRPr="00F42677">
        <w:rPr>
          <w:rFonts w:ascii="Times New Roman" w:hAnsi="Times New Roman"/>
          <w:sz w:val="28"/>
          <w:szCs w:val="28"/>
          <w:lang w:val="uk-UA"/>
        </w:rPr>
        <w:t xml:space="preserve"> упродовж гострого періоду інсульту (4-х діб) викликало збільшення активності аеробного шляху окиснен</w:t>
      </w:r>
      <w:r w:rsidR="008024B4">
        <w:rPr>
          <w:rFonts w:ascii="Times New Roman" w:hAnsi="Times New Roman"/>
          <w:sz w:val="28"/>
          <w:szCs w:val="28"/>
          <w:lang w:val="uk-UA"/>
        </w:rPr>
        <w:t>ня глюкози в мозку щурів,</w:t>
      </w:r>
      <w:r w:rsidR="00527BE4">
        <w:rPr>
          <w:rFonts w:ascii="Times New Roman" w:hAnsi="Times New Roman"/>
          <w:sz w:val="28"/>
          <w:szCs w:val="28"/>
          <w:lang w:val="uk-UA"/>
        </w:rPr>
        <w:t xml:space="preserve"> про що</w:t>
      </w:r>
      <w:r w:rsidRPr="00F42677">
        <w:rPr>
          <w:rFonts w:ascii="Times New Roman" w:hAnsi="Times New Roman"/>
          <w:sz w:val="28"/>
          <w:szCs w:val="28"/>
          <w:lang w:val="uk-UA"/>
        </w:rPr>
        <w:t xml:space="preserve">свідчило збільшення вмісту пірувату, зниження рівня лактату та співвідношення лактат / піруват, порівняно із </w:t>
      </w:r>
      <w:r w:rsidR="008024B4">
        <w:rPr>
          <w:rFonts w:ascii="Times New Roman" w:hAnsi="Times New Roman"/>
          <w:sz w:val="28"/>
          <w:szCs w:val="28"/>
          <w:lang w:val="uk-UA"/>
        </w:rPr>
        <w:t xml:space="preserve"> відповідни</w:t>
      </w:r>
      <w:r w:rsidR="00527BE4">
        <w:rPr>
          <w:rFonts w:ascii="Times New Roman" w:hAnsi="Times New Roman"/>
          <w:sz w:val="28"/>
          <w:szCs w:val="28"/>
          <w:lang w:val="uk-UA"/>
        </w:rPr>
        <w:t>ми</w:t>
      </w:r>
      <w:r w:rsidRPr="00F42677">
        <w:rPr>
          <w:rFonts w:ascii="Times New Roman" w:hAnsi="Times New Roman"/>
          <w:sz w:val="28"/>
          <w:szCs w:val="28"/>
          <w:lang w:val="uk-UA"/>
        </w:rPr>
        <w:t xml:space="preserve"> показниками у тварин групи контрольної патології.</w:t>
      </w:r>
      <w:r w:rsidR="00406EAF" w:rsidRPr="00F42677">
        <w:rPr>
          <w:rFonts w:ascii="Times New Roman" w:hAnsi="Times New Roman"/>
          <w:sz w:val="28"/>
          <w:szCs w:val="28"/>
          <w:lang w:val="uk-UA"/>
        </w:rPr>
        <w:t xml:space="preserve">За цих умов адемол, і, меншою мірою німодипін, мали найбільш потужний </w:t>
      </w:r>
      <w:r w:rsidR="00406EAF" w:rsidRPr="00F42677">
        <w:rPr>
          <w:rFonts w:ascii="Times New Roman" w:hAnsi="Times New Roman"/>
          <w:sz w:val="28"/>
          <w:szCs w:val="28"/>
          <w:lang w:val="uk-UA"/>
        </w:rPr>
        <w:lastRenderedPageBreak/>
        <w:t>вплив на метаболізм глюкози.</w:t>
      </w:r>
    </w:p>
    <w:p w:rsidR="005A60C3" w:rsidRDefault="005A60C3" w:rsidP="001F0A71">
      <w:pPr>
        <w:widowControl w:val="0"/>
        <w:spacing w:after="0" w:line="360" w:lineRule="auto"/>
        <w:ind w:firstLine="284"/>
        <w:jc w:val="right"/>
        <w:rPr>
          <w:rFonts w:ascii="Times New Roman" w:hAnsi="Times New Roman"/>
          <w:sz w:val="28"/>
          <w:szCs w:val="28"/>
          <w:lang w:val="uk-UA"/>
        </w:rPr>
      </w:pPr>
    </w:p>
    <w:p w:rsidR="001F0A71" w:rsidRPr="00F42677" w:rsidRDefault="001F0A71" w:rsidP="001F0A71">
      <w:pPr>
        <w:widowControl w:val="0"/>
        <w:spacing w:after="0" w:line="360" w:lineRule="auto"/>
        <w:ind w:firstLine="284"/>
        <w:jc w:val="right"/>
        <w:rPr>
          <w:rFonts w:ascii="Times New Roman" w:hAnsi="Times New Roman"/>
          <w:sz w:val="28"/>
          <w:szCs w:val="28"/>
          <w:lang w:val="uk-UA"/>
        </w:rPr>
      </w:pPr>
      <w:r w:rsidRPr="00F42677">
        <w:rPr>
          <w:rFonts w:ascii="Times New Roman" w:hAnsi="Times New Roman"/>
          <w:sz w:val="28"/>
          <w:szCs w:val="28"/>
          <w:lang w:val="uk-UA"/>
        </w:rPr>
        <w:t>Таблиця 6.2</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D0316E">
        <w:rPr>
          <w:rFonts w:ascii="Times New Roman" w:hAnsi="Times New Roman"/>
          <w:sz w:val="28"/>
          <w:szCs w:val="28"/>
          <w:lang w:val="uk-UA"/>
        </w:rPr>
        <w:t>Динаміка впливу адемолу на вміст метаболітів глюкози у мозку щурів на тлі субарахноїдального крововиливу</w:t>
      </w:r>
      <w:r w:rsidRPr="00D0316E">
        <w:rPr>
          <w:rFonts w:ascii="Times New Roman" w:hAnsi="Times New Roman"/>
          <w:sz w:val="28"/>
          <w:szCs w:val="28"/>
        </w:rPr>
        <w:t>,</w:t>
      </w:r>
      <w:r w:rsidRPr="00D0316E">
        <w:rPr>
          <w:rFonts w:ascii="Times New Roman" w:hAnsi="Times New Roman"/>
          <w:sz w:val="28"/>
          <w:szCs w:val="28"/>
          <w:lang w:val="uk-UA"/>
        </w:rPr>
        <w:t>М±m</w:t>
      </w:r>
      <w:r w:rsidRPr="00D0316E">
        <w:rPr>
          <w:rFonts w:ascii="Times New Roman" w:hAnsi="Times New Roman"/>
          <w:sz w:val="28"/>
          <w:szCs w:val="28"/>
        </w:rPr>
        <w:t>(</w:t>
      </w:r>
      <w:r w:rsidRPr="00090011">
        <w:rPr>
          <w:rFonts w:ascii="Times New Roman" w:hAnsi="Times New Roman"/>
          <w:sz w:val="28"/>
          <w:szCs w:val="28"/>
          <w:lang w:val="uk-UA"/>
        </w:rPr>
        <w:t>n=15</w:t>
      </w:r>
      <w:r w:rsidRPr="00D0316E">
        <w:rPr>
          <w:rFonts w:ascii="Times New Roman" w:hAnsi="Times New Roman"/>
          <w:sz w:val="28"/>
          <w:szCs w:val="28"/>
          <w:lang w:val="uk-UA"/>
        </w:rPr>
        <w:t>)</w:t>
      </w:r>
    </w:p>
    <w:p w:rsidR="0036311A" w:rsidRPr="00D0316E" w:rsidRDefault="0036311A" w:rsidP="001F0A71">
      <w:pPr>
        <w:widowControl w:val="0"/>
        <w:spacing w:after="0" w:line="360" w:lineRule="auto"/>
        <w:ind w:firstLine="284"/>
        <w:jc w:val="center"/>
        <w:rPr>
          <w:rFonts w:ascii="Times New Roman" w:hAnsi="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2"/>
        <w:gridCol w:w="1276"/>
        <w:gridCol w:w="1985"/>
        <w:gridCol w:w="2126"/>
        <w:gridCol w:w="1978"/>
      </w:tblGrid>
      <w:tr w:rsidR="001F0A71" w:rsidRPr="00D0316E" w:rsidTr="001F0A71">
        <w:trPr>
          <w:trHeight w:val="270"/>
        </w:trPr>
        <w:tc>
          <w:tcPr>
            <w:tcW w:w="2722" w:type="dxa"/>
            <w:vMerge w:val="restart"/>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Групи тварин</w:t>
            </w:r>
          </w:p>
        </w:tc>
        <w:tc>
          <w:tcPr>
            <w:tcW w:w="1276" w:type="dxa"/>
            <w:vMerge w:val="restart"/>
            <w:textDirection w:val="btLr"/>
            <w:vAlign w:val="center"/>
          </w:tcPr>
          <w:p w:rsidR="001F0A71" w:rsidRPr="00D0316E" w:rsidRDefault="001F0A71" w:rsidP="00473231">
            <w:pPr>
              <w:widowControl w:val="0"/>
              <w:spacing w:before="60" w:after="60" w:line="240" w:lineRule="auto"/>
              <w:ind w:right="113"/>
              <w:jc w:val="center"/>
              <w:rPr>
                <w:rFonts w:ascii="Times New Roman" w:hAnsi="Times New Roman"/>
                <w:sz w:val="28"/>
                <w:szCs w:val="28"/>
                <w:lang w:val="uk-UA"/>
              </w:rPr>
            </w:pPr>
            <w:r w:rsidRPr="00D0316E">
              <w:rPr>
                <w:rFonts w:ascii="Times New Roman" w:hAnsi="Times New Roman"/>
                <w:sz w:val="28"/>
                <w:szCs w:val="28"/>
                <w:lang w:val="uk-UA"/>
              </w:rPr>
              <w:t>Термін</w:t>
            </w:r>
          </w:p>
          <w:p w:rsidR="001F0A71" w:rsidRPr="00D0316E" w:rsidRDefault="001F0A71" w:rsidP="00473231">
            <w:pPr>
              <w:widowControl w:val="0"/>
              <w:spacing w:before="60" w:after="60" w:line="240" w:lineRule="auto"/>
              <w:ind w:right="-108"/>
              <w:jc w:val="center"/>
              <w:rPr>
                <w:rFonts w:ascii="Times New Roman" w:hAnsi="Times New Roman"/>
                <w:sz w:val="28"/>
                <w:szCs w:val="28"/>
                <w:lang w:val="uk-UA"/>
              </w:rPr>
            </w:pPr>
            <w:r>
              <w:rPr>
                <w:rFonts w:ascii="Times New Roman" w:hAnsi="Times New Roman"/>
                <w:sz w:val="28"/>
                <w:szCs w:val="28"/>
                <w:lang w:val="uk-UA"/>
              </w:rPr>
              <w:t>е</w:t>
            </w:r>
            <w:r w:rsidRPr="00D0316E">
              <w:rPr>
                <w:rFonts w:ascii="Times New Roman" w:hAnsi="Times New Roman"/>
                <w:sz w:val="28"/>
                <w:szCs w:val="28"/>
                <w:lang w:val="uk-UA"/>
              </w:rPr>
              <w:t>ксперименту,, (доба)</w:t>
            </w:r>
          </w:p>
        </w:tc>
        <w:tc>
          <w:tcPr>
            <w:tcW w:w="6089" w:type="dxa"/>
            <w:gridSpan w:val="3"/>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Показники</w:t>
            </w:r>
          </w:p>
        </w:tc>
      </w:tr>
      <w:tr w:rsidR="001F0A71" w:rsidRPr="00D0316E" w:rsidTr="001F0A71">
        <w:trPr>
          <w:trHeight w:val="1400"/>
        </w:trPr>
        <w:tc>
          <w:tcPr>
            <w:tcW w:w="2722" w:type="dxa"/>
            <w:vMerge/>
            <w:vAlign w:val="center"/>
          </w:tcPr>
          <w:p w:rsidR="001F0A71" w:rsidRPr="00D0316E" w:rsidRDefault="001F0A71" w:rsidP="00473231">
            <w:pPr>
              <w:widowControl w:val="0"/>
              <w:spacing w:before="60" w:after="60" w:line="240" w:lineRule="auto"/>
              <w:rPr>
                <w:rFonts w:ascii="Times New Roman" w:hAnsi="Times New Roman"/>
                <w:sz w:val="28"/>
                <w:szCs w:val="28"/>
                <w:lang w:val="uk-UA"/>
              </w:rPr>
            </w:pPr>
          </w:p>
        </w:tc>
        <w:tc>
          <w:tcPr>
            <w:tcW w:w="1276" w:type="dxa"/>
            <w:vMerge/>
            <w:vAlign w:val="center"/>
          </w:tcPr>
          <w:p w:rsidR="001F0A71" w:rsidRPr="00D0316E" w:rsidRDefault="001F0A71" w:rsidP="00473231">
            <w:pPr>
              <w:widowControl w:val="0"/>
              <w:spacing w:before="60" w:after="60" w:line="240" w:lineRule="auto"/>
              <w:rPr>
                <w:rFonts w:ascii="Times New Roman" w:hAnsi="Times New Roman"/>
                <w:sz w:val="28"/>
                <w:szCs w:val="28"/>
                <w:lang w:val="uk-UA"/>
              </w:rPr>
            </w:pPr>
          </w:p>
        </w:tc>
        <w:tc>
          <w:tcPr>
            <w:tcW w:w="1985"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Лактат,</w:t>
            </w:r>
          </w:p>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мкмоль / г сухої тканини</w:t>
            </w:r>
          </w:p>
        </w:tc>
        <w:tc>
          <w:tcPr>
            <w:tcW w:w="212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 xml:space="preserve">Піруват, </w:t>
            </w:r>
          </w:p>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мкмоль / г сухої тканини</w:t>
            </w:r>
          </w:p>
        </w:tc>
        <w:tc>
          <w:tcPr>
            <w:tcW w:w="1978"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Лактат / Піруват</w:t>
            </w:r>
          </w:p>
        </w:tc>
      </w:tr>
      <w:tr w:rsidR="001F0A71" w:rsidRPr="00D0316E" w:rsidTr="001F0A71">
        <w:trPr>
          <w:trHeight w:val="515"/>
        </w:trPr>
        <w:tc>
          <w:tcPr>
            <w:tcW w:w="2722" w:type="dxa"/>
            <w:vMerge w:val="restart"/>
            <w:vAlign w:val="center"/>
          </w:tcPr>
          <w:p w:rsidR="001F0A71" w:rsidRPr="00D0316E" w:rsidRDefault="001F0A71" w:rsidP="0036311A">
            <w:pPr>
              <w:widowControl w:val="0"/>
              <w:spacing w:before="60" w:after="60" w:line="240" w:lineRule="auto"/>
              <w:rPr>
                <w:rFonts w:ascii="Times New Roman" w:hAnsi="Times New Roman"/>
                <w:b/>
                <w:sz w:val="28"/>
                <w:szCs w:val="28"/>
                <w:lang w:val="uk-UA"/>
              </w:rPr>
            </w:pPr>
            <w:r w:rsidRPr="00D0316E">
              <w:rPr>
                <w:rFonts w:ascii="Times New Roman" w:hAnsi="Times New Roman"/>
                <w:sz w:val="28"/>
                <w:szCs w:val="28"/>
                <w:lang w:val="uk-UA"/>
              </w:rPr>
              <w:t>Псевдооперовані тварини + 0,9% NаСІ, 2 мл/кг</w:t>
            </w:r>
          </w:p>
        </w:tc>
        <w:tc>
          <w:tcPr>
            <w:tcW w:w="127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4</w:t>
            </w:r>
          </w:p>
        </w:tc>
        <w:tc>
          <w:tcPr>
            <w:tcW w:w="1985"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1,66±0,02</w:t>
            </w:r>
          </w:p>
        </w:tc>
        <w:tc>
          <w:tcPr>
            <w:tcW w:w="212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0,300±0,017</w:t>
            </w:r>
          </w:p>
        </w:tc>
        <w:tc>
          <w:tcPr>
            <w:tcW w:w="1978"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5,76±0,29</w:t>
            </w:r>
          </w:p>
        </w:tc>
      </w:tr>
      <w:tr w:rsidR="001F0A71" w:rsidRPr="00D0316E" w:rsidTr="001F0A71">
        <w:trPr>
          <w:trHeight w:val="270"/>
        </w:trPr>
        <w:tc>
          <w:tcPr>
            <w:tcW w:w="2722" w:type="dxa"/>
            <w:vMerge/>
            <w:vAlign w:val="center"/>
          </w:tcPr>
          <w:p w:rsidR="001F0A71" w:rsidRPr="00D0316E" w:rsidRDefault="001F0A71" w:rsidP="00473231">
            <w:pPr>
              <w:widowControl w:val="0"/>
              <w:spacing w:before="60" w:after="60" w:line="240" w:lineRule="auto"/>
              <w:rPr>
                <w:rFonts w:ascii="Times New Roman" w:hAnsi="Times New Roman"/>
                <w:sz w:val="28"/>
                <w:szCs w:val="28"/>
                <w:lang w:val="uk-UA"/>
              </w:rPr>
            </w:pPr>
          </w:p>
        </w:tc>
        <w:tc>
          <w:tcPr>
            <w:tcW w:w="127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21</w:t>
            </w:r>
          </w:p>
        </w:tc>
        <w:tc>
          <w:tcPr>
            <w:tcW w:w="1985"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1,60±0,03</w:t>
            </w:r>
          </w:p>
        </w:tc>
        <w:tc>
          <w:tcPr>
            <w:tcW w:w="212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0,294±0,019</w:t>
            </w:r>
          </w:p>
        </w:tc>
        <w:tc>
          <w:tcPr>
            <w:tcW w:w="1978"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5,73±0,33</w:t>
            </w:r>
          </w:p>
        </w:tc>
      </w:tr>
      <w:tr w:rsidR="001F0A71" w:rsidRPr="00D0316E" w:rsidTr="001F0A71">
        <w:trPr>
          <w:trHeight w:val="516"/>
        </w:trPr>
        <w:tc>
          <w:tcPr>
            <w:tcW w:w="2722" w:type="dxa"/>
            <w:vMerge w:val="restart"/>
            <w:vAlign w:val="center"/>
          </w:tcPr>
          <w:p w:rsidR="001F0A71" w:rsidRPr="00D0316E" w:rsidRDefault="001F0A71" w:rsidP="00473231">
            <w:pPr>
              <w:widowControl w:val="0"/>
              <w:spacing w:before="60" w:after="60" w:line="240" w:lineRule="auto"/>
              <w:rPr>
                <w:rFonts w:ascii="Times New Roman" w:hAnsi="Times New Roman"/>
                <w:sz w:val="28"/>
                <w:szCs w:val="28"/>
                <w:lang w:val="uk-UA"/>
              </w:rPr>
            </w:pPr>
            <w:r w:rsidRPr="00D0316E">
              <w:rPr>
                <w:rFonts w:ascii="Times New Roman" w:hAnsi="Times New Roman"/>
                <w:sz w:val="28"/>
                <w:szCs w:val="28"/>
                <w:lang w:val="uk-UA"/>
              </w:rPr>
              <w:t>САК + 0,9% NаСІ, 2 мл/кг</w:t>
            </w:r>
          </w:p>
        </w:tc>
        <w:tc>
          <w:tcPr>
            <w:tcW w:w="127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4</w:t>
            </w:r>
          </w:p>
        </w:tc>
        <w:tc>
          <w:tcPr>
            <w:tcW w:w="1985"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7,19±0,11º</w:t>
            </w:r>
          </w:p>
        </w:tc>
        <w:tc>
          <w:tcPr>
            <w:tcW w:w="212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0,119±0,008º</w:t>
            </w:r>
          </w:p>
        </w:tc>
        <w:tc>
          <w:tcPr>
            <w:tcW w:w="1978"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65,4±5,70º</w:t>
            </w:r>
          </w:p>
        </w:tc>
      </w:tr>
      <w:tr w:rsidR="001F0A71" w:rsidRPr="00D0316E" w:rsidTr="001F0A71">
        <w:trPr>
          <w:trHeight w:val="491"/>
        </w:trPr>
        <w:tc>
          <w:tcPr>
            <w:tcW w:w="2722" w:type="dxa"/>
            <w:vMerge/>
            <w:vAlign w:val="center"/>
          </w:tcPr>
          <w:p w:rsidR="001F0A71" w:rsidRPr="00D0316E" w:rsidRDefault="001F0A71" w:rsidP="00473231">
            <w:pPr>
              <w:widowControl w:val="0"/>
              <w:spacing w:before="60" w:after="60" w:line="240" w:lineRule="auto"/>
              <w:rPr>
                <w:rFonts w:ascii="Times New Roman" w:hAnsi="Times New Roman"/>
                <w:sz w:val="28"/>
                <w:szCs w:val="28"/>
                <w:lang w:val="uk-UA"/>
              </w:rPr>
            </w:pPr>
          </w:p>
        </w:tc>
        <w:tc>
          <w:tcPr>
            <w:tcW w:w="127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21</w:t>
            </w:r>
          </w:p>
        </w:tc>
        <w:tc>
          <w:tcPr>
            <w:tcW w:w="1985"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6,02±0,14º</w:t>
            </w:r>
          </w:p>
        </w:tc>
        <w:tc>
          <w:tcPr>
            <w:tcW w:w="212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0,144±0,011º</w:t>
            </w:r>
          </w:p>
        </w:tc>
        <w:tc>
          <w:tcPr>
            <w:tcW w:w="1978"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44,9±3,40º</w:t>
            </w:r>
          </w:p>
        </w:tc>
      </w:tr>
      <w:tr w:rsidR="001F0A71" w:rsidRPr="00D0316E" w:rsidTr="001F0A71">
        <w:trPr>
          <w:trHeight w:val="487"/>
        </w:trPr>
        <w:tc>
          <w:tcPr>
            <w:tcW w:w="2722" w:type="dxa"/>
            <w:vMerge w:val="restart"/>
            <w:vAlign w:val="center"/>
          </w:tcPr>
          <w:p w:rsidR="001F0A71" w:rsidRDefault="001F0A71" w:rsidP="00473231">
            <w:pPr>
              <w:widowControl w:val="0"/>
              <w:spacing w:before="60" w:after="60" w:line="240" w:lineRule="auto"/>
              <w:rPr>
                <w:rFonts w:ascii="Times New Roman" w:hAnsi="Times New Roman"/>
                <w:sz w:val="28"/>
                <w:szCs w:val="28"/>
                <w:lang w:val="uk-UA"/>
              </w:rPr>
            </w:pPr>
            <w:r w:rsidRPr="00D0316E">
              <w:rPr>
                <w:rFonts w:ascii="Times New Roman" w:hAnsi="Times New Roman"/>
                <w:sz w:val="28"/>
                <w:szCs w:val="28"/>
                <w:lang w:val="uk-UA"/>
              </w:rPr>
              <w:t>САК</w:t>
            </w:r>
            <w:r w:rsidRPr="00D0316E">
              <w:rPr>
                <w:rFonts w:ascii="Times New Roman" w:hAnsi="Times New Roman"/>
                <w:b/>
                <w:sz w:val="28"/>
                <w:szCs w:val="28"/>
                <w:lang w:val="uk-UA"/>
              </w:rPr>
              <w:t xml:space="preserve"> + </w:t>
            </w:r>
            <w:r w:rsidRPr="00D0316E">
              <w:rPr>
                <w:rFonts w:ascii="Times New Roman" w:hAnsi="Times New Roman"/>
                <w:sz w:val="28"/>
                <w:szCs w:val="28"/>
                <w:lang w:val="uk-UA"/>
              </w:rPr>
              <w:t xml:space="preserve">адемол, </w:t>
            </w:r>
          </w:p>
          <w:p w:rsidR="001F0A71" w:rsidRPr="00D0316E" w:rsidRDefault="001F0A71" w:rsidP="00473231">
            <w:pPr>
              <w:widowControl w:val="0"/>
              <w:spacing w:before="60" w:after="60" w:line="240" w:lineRule="auto"/>
              <w:rPr>
                <w:rFonts w:ascii="Times New Roman" w:hAnsi="Times New Roman"/>
                <w:b/>
                <w:sz w:val="28"/>
                <w:szCs w:val="28"/>
                <w:lang w:val="uk-UA"/>
              </w:rPr>
            </w:pPr>
            <w:r w:rsidRPr="00D0316E">
              <w:rPr>
                <w:rFonts w:ascii="Times New Roman" w:hAnsi="Times New Roman"/>
                <w:sz w:val="28"/>
                <w:szCs w:val="28"/>
                <w:lang w:val="uk-UA"/>
              </w:rPr>
              <w:t>2 мг⁄кг</w:t>
            </w:r>
          </w:p>
        </w:tc>
        <w:tc>
          <w:tcPr>
            <w:tcW w:w="127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4</w:t>
            </w:r>
          </w:p>
        </w:tc>
        <w:tc>
          <w:tcPr>
            <w:tcW w:w="1985"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4,90±0,16º*</w:t>
            </w:r>
          </w:p>
        </w:tc>
        <w:tc>
          <w:tcPr>
            <w:tcW w:w="212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0,170±0,013*</w:t>
            </w:r>
          </w:p>
        </w:tc>
        <w:tc>
          <w:tcPr>
            <w:tcW w:w="1978"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30,4±1,78º*</w:t>
            </w:r>
          </w:p>
        </w:tc>
      </w:tr>
      <w:tr w:rsidR="001F0A71" w:rsidRPr="00D0316E" w:rsidTr="001F0A71">
        <w:trPr>
          <w:trHeight w:val="492"/>
        </w:trPr>
        <w:tc>
          <w:tcPr>
            <w:tcW w:w="2722" w:type="dxa"/>
            <w:vMerge/>
            <w:vAlign w:val="center"/>
          </w:tcPr>
          <w:p w:rsidR="001F0A71" w:rsidRPr="00D0316E" w:rsidRDefault="001F0A71" w:rsidP="00473231">
            <w:pPr>
              <w:widowControl w:val="0"/>
              <w:spacing w:before="60" w:after="60" w:line="240" w:lineRule="auto"/>
              <w:rPr>
                <w:rFonts w:ascii="Times New Roman" w:hAnsi="Times New Roman"/>
                <w:sz w:val="28"/>
                <w:szCs w:val="28"/>
                <w:lang w:val="uk-UA"/>
              </w:rPr>
            </w:pPr>
          </w:p>
        </w:tc>
        <w:tc>
          <w:tcPr>
            <w:tcW w:w="127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21</w:t>
            </w:r>
          </w:p>
        </w:tc>
        <w:tc>
          <w:tcPr>
            <w:tcW w:w="1985"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3,13±0,21º*</w:t>
            </w:r>
          </w:p>
        </w:tc>
        <w:tc>
          <w:tcPr>
            <w:tcW w:w="212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0,275±0,013*</w:t>
            </w:r>
          </w:p>
        </w:tc>
        <w:tc>
          <w:tcPr>
            <w:tcW w:w="1978"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11,3±0,51º*</w:t>
            </w:r>
          </w:p>
        </w:tc>
      </w:tr>
      <w:tr w:rsidR="001F0A71" w:rsidRPr="00D0316E" w:rsidTr="001F0A71">
        <w:trPr>
          <w:trHeight w:val="487"/>
        </w:trPr>
        <w:tc>
          <w:tcPr>
            <w:tcW w:w="2722" w:type="dxa"/>
            <w:vMerge w:val="restart"/>
            <w:vAlign w:val="center"/>
          </w:tcPr>
          <w:p w:rsidR="001F0A71" w:rsidRPr="00D0316E" w:rsidRDefault="001F0A71" w:rsidP="00473231">
            <w:pPr>
              <w:widowControl w:val="0"/>
              <w:spacing w:before="60" w:after="60" w:line="240" w:lineRule="auto"/>
              <w:rPr>
                <w:rFonts w:ascii="Times New Roman" w:hAnsi="Times New Roman"/>
                <w:sz w:val="28"/>
                <w:szCs w:val="28"/>
                <w:lang w:val="uk-UA"/>
              </w:rPr>
            </w:pPr>
            <w:r w:rsidRPr="00D0316E">
              <w:rPr>
                <w:rFonts w:ascii="Times New Roman" w:hAnsi="Times New Roman"/>
                <w:sz w:val="28"/>
                <w:szCs w:val="28"/>
                <w:lang w:val="uk-UA"/>
              </w:rPr>
              <w:t>САК + німодипін,</w:t>
            </w:r>
          </w:p>
          <w:p w:rsidR="001F0A71" w:rsidRPr="00D0316E" w:rsidRDefault="001F0A71" w:rsidP="00473231">
            <w:pPr>
              <w:widowControl w:val="0"/>
              <w:spacing w:before="60" w:after="60" w:line="240" w:lineRule="auto"/>
              <w:rPr>
                <w:rFonts w:ascii="Times New Roman" w:hAnsi="Times New Roman"/>
                <w:sz w:val="28"/>
                <w:szCs w:val="28"/>
                <w:lang w:val="uk-UA"/>
              </w:rPr>
            </w:pPr>
            <w:r w:rsidRPr="00D0316E">
              <w:rPr>
                <w:rFonts w:ascii="Times New Roman" w:hAnsi="Times New Roman"/>
                <w:sz w:val="28"/>
                <w:szCs w:val="28"/>
                <w:lang w:val="uk-UA"/>
              </w:rPr>
              <w:t>30 мкг⁄кг</w:t>
            </w:r>
          </w:p>
        </w:tc>
        <w:tc>
          <w:tcPr>
            <w:tcW w:w="127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4</w:t>
            </w:r>
          </w:p>
        </w:tc>
        <w:tc>
          <w:tcPr>
            <w:tcW w:w="1985"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4,42±0,13º*</w:t>
            </w:r>
            <w:r w:rsidRPr="00D0316E">
              <w:rPr>
                <w:rFonts w:ascii="Times New Roman" w:hAnsi="Times New Roman"/>
                <w:sz w:val="28"/>
                <w:szCs w:val="28"/>
                <w:vertAlign w:val="superscript"/>
                <w:lang w:val="uk-UA"/>
              </w:rPr>
              <w:t>&amp;#α</w:t>
            </w:r>
          </w:p>
        </w:tc>
        <w:tc>
          <w:tcPr>
            <w:tcW w:w="212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0,183±0,014*</w:t>
            </w:r>
            <w:r w:rsidRPr="00D0316E">
              <w:rPr>
                <w:rFonts w:ascii="Times New Roman" w:hAnsi="Times New Roman"/>
                <w:sz w:val="28"/>
                <w:szCs w:val="28"/>
                <w:vertAlign w:val="superscript"/>
                <w:lang w:val="uk-UA"/>
              </w:rPr>
              <w:t>&amp;#</w:t>
            </w:r>
          </w:p>
        </w:tc>
        <w:tc>
          <w:tcPr>
            <w:tcW w:w="1978"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26,2±2,08º*</w:t>
            </w:r>
            <w:r w:rsidRPr="00D0316E">
              <w:rPr>
                <w:rFonts w:ascii="Times New Roman" w:hAnsi="Times New Roman"/>
                <w:sz w:val="28"/>
                <w:szCs w:val="28"/>
                <w:vertAlign w:val="superscript"/>
                <w:lang w:val="uk-UA"/>
              </w:rPr>
              <w:t>&amp;#α</w:t>
            </w:r>
          </w:p>
        </w:tc>
      </w:tr>
      <w:tr w:rsidR="001F0A71" w:rsidRPr="00D0316E" w:rsidTr="001F0A71">
        <w:trPr>
          <w:trHeight w:val="270"/>
        </w:trPr>
        <w:tc>
          <w:tcPr>
            <w:tcW w:w="2722" w:type="dxa"/>
            <w:vMerge/>
            <w:vAlign w:val="center"/>
          </w:tcPr>
          <w:p w:rsidR="001F0A71" w:rsidRPr="00D0316E" w:rsidRDefault="001F0A71" w:rsidP="00473231">
            <w:pPr>
              <w:widowControl w:val="0"/>
              <w:spacing w:before="60" w:after="60" w:line="240" w:lineRule="auto"/>
              <w:rPr>
                <w:rFonts w:ascii="Times New Roman" w:hAnsi="Times New Roman"/>
                <w:sz w:val="28"/>
                <w:szCs w:val="28"/>
                <w:lang w:val="uk-UA"/>
              </w:rPr>
            </w:pPr>
          </w:p>
        </w:tc>
        <w:tc>
          <w:tcPr>
            <w:tcW w:w="127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21</w:t>
            </w:r>
          </w:p>
        </w:tc>
        <w:tc>
          <w:tcPr>
            <w:tcW w:w="1985"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2,56±0,15º*</w:t>
            </w:r>
            <w:r w:rsidRPr="00D0316E">
              <w:rPr>
                <w:rFonts w:ascii="Times New Roman" w:hAnsi="Times New Roman"/>
                <w:sz w:val="28"/>
                <w:szCs w:val="28"/>
                <w:vertAlign w:val="superscript"/>
                <w:lang w:val="uk-UA"/>
              </w:rPr>
              <w:t>&amp;#α</w:t>
            </w:r>
          </w:p>
        </w:tc>
        <w:tc>
          <w:tcPr>
            <w:tcW w:w="212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0,285±0,012*</w:t>
            </w:r>
            <w:r w:rsidRPr="00D0316E">
              <w:rPr>
                <w:rFonts w:ascii="Times New Roman" w:hAnsi="Times New Roman"/>
                <w:sz w:val="28"/>
                <w:szCs w:val="28"/>
                <w:vertAlign w:val="superscript"/>
                <w:lang w:val="uk-UA"/>
              </w:rPr>
              <w:t>&amp;#</w:t>
            </w:r>
          </w:p>
        </w:tc>
        <w:tc>
          <w:tcPr>
            <w:tcW w:w="1978"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8,96±0,30º*</w:t>
            </w:r>
            <w:r w:rsidRPr="00D0316E">
              <w:rPr>
                <w:rFonts w:ascii="Times New Roman" w:hAnsi="Times New Roman"/>
                <w:sz w:val="28"/>
                <w:szCs w:val="28"/>
                <w:vertAlign w:val="superscript"/>
                <w:lang w:val="uk-UA"/>
              </w:rPr>
              <w:t>&amp;#α</w:t>
            </w:r>
          </w:p>
        </w:tc>
      </w:tr>
      <w:tr w:rsidR="001F0A71" w:rsidRPr="00D0316E" w:rsidTr="001F0A71">
        <w:trPr>
          <w:trHeight w:val="487"/>
        </w:trPr>
        <w:tc>
          <w:tcPr>
            <w:tcW w:w="2722" w:type="dxa"/>
            <w:vMerge w:val="restart"/>
            <w:vAlign w:val="center"/>
          </w:tcPr>
          <w:p w:rsidR="001F0A71" w:rsidRPr="00D0316E" w:rsidRDefault="001F0A71" w:rsidP="00473231">
            <w:pPr>
              <w:widowControl w:val="0"/>
              <w:spacing w:before="60" w:after="60" w:line="240" w:lineRule="auto"/>
              <w:rPr>
                <w:rFonts w:ascii="Times New Roman" w:hAnsi="Times New Roman"/>
                <w:sz w:val="28"/>
                <w:szCs w:val="28"/>
                <w:lang w:val="uk-UA"/>
              </w:rPr>
            </w:pPr>
            <w:r w:rsidRPr="00D0316E">
              <w:rPr>
                <w:rFonts w:ascii="Times New Roman" w:hAnsi="Times New Roman"/>
                <w:sz w:val="28"/>
                <w:szCs w:val="28"/>
                <w:lang w:val="uk-UA"/>
              </w:rPr>
              <w:t>САК + амантадину сульфат, 10 мг⁄кг</w:t>
            </w:r>
          </w:p>
        </w:tc>
        <w:tc>
          <w:tcPr>
            <w:tcW w:w="127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4</w:t>
            </w:r>
          </w:p>
        </w:tc>
        <w:tc>
          <w:tcPr>
            <w:tcW w:w="1985"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5,40±0,15º*</w:t>
            </w:r>
          </w:p>
        </w:tc>
        <w:tc>
          <w:tcPr>
            <w:tcW w:w="212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0,132±0,012º*</w:t>
            </w:r>
          </w:p>
        </w:tc>
        <w:tc>
          <w:tcPr>
            <w:tcW w:w="1978"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45,5±4,14º*</w:t>
            </w:r>
          </w:p>
        </w:tc>
      </w:tr>
      <w:tr w:rsidR="001F0A71" w:rsidRPr="00D0316E" w:rsidTr="001F0A71">
        <w:trPr>
          <w:trHeight w:val="270"/>
        </w:trPr>
        <w:tc>
          <w:tcPr>
            <w:tcW w:w="2722" w:type="dxa"/>
            <w:vMerge/>
            <w:vAlign w:val="center"/>
          </w:tcPr>
          <w:p w:rsidR="001F0A71" w:rsidRPr="00D0316E" w:rsidRDefault="001F0A71" w:rsidP="00473231">
            <w:pPr>
              <w:widowControl w:val="0"/>
              <w:spacing w:before="60" w:after="60" w:line="240" w:lineRule="auto"/>
              <w:rPr>
                <w:rFonts w:ascii="Times New Roman" w:hAnsi="Times New Roman"/>
                <w:sz w:val="28"/>
                <w:szCs w:val="28"/>
                <w:lang w:val="uk-UA"/>
              </w:rPr>
            </w:pPr>
          </w:p>
        </w:tc>
        <w:tc>
          <w:tcPr>
            <w:tcW w:w="127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21</w:t>
            </w:r>
          </w:p>
        </w:tc>
        <w:tc>
          <w:tcPr>
            <w:tcW w:w="1985"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3,73±0,19º*</w:t>
            </w:r>
          </w:p>
        </w:tc>
        <w:tc>
          <w:tcPr>
            <w:tcW w:w="212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0,234±0,014 º*</w:t>
            </w:r>
          </w:p>
        </w:tc>
        <w:tc>
          <w:tcPr>
            <w:tcW w:w="1978"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16,3±0,74º*</w:t>
            </w:r>
          </w:p>
        </w:tc>
      </w:tr>
      <w:tr w:rsidR="001F0A71" w:rsidRPr="00D0316E" w:rsidTr="001F0A71">
        <w:trPr>
          <w:trHeight w:val="498"/>
        </w:trPr>
        <w:tc>
          <w:tcPr>
            <w:tcW w:w="2722" w:type="dxa"/>
            <w:vMerge w:val="restart"/>
            <w:vAlign w:val="center"/>
          </w:tcPr>
          <w:p w:rsidR="001F0A71" w:rsidRPr="00D0316E" w:rsidRDefault="001F0A71" w:rsidP="00473231">
            <w:pPr>
              <w:widowControl w:val="0"/>
              <w:spacing w:before="60" w:after="60" w:line="240" w:lineRule="auto"/>
              <w:rPr>
                <w:rFonts w:ascii="Times New Roman" w:hAnsi="Times New Roman"/>
                <w:sz w:val="28"/>
                <w:szCs w:val="28"/>
                <w:lang w:val="uk-UA"/>
              </w:rPr>
            </w:pPr>
            <w:r w:rsidRPr="00D0316E">
              <w:rPr>
                <w:rFonts w:ascii="Times New Roman" w:hAnsi="Times New Roman"/>
                <w:sz w:val="28"/>
                <w:szCs w:val="28"/>
                <w:lang w:val="uk-UA"/>
              </w:rPr>
              <w:t xml:space="preserve">САК + магнію сульфат, </w:t>
            </w:r>
          </w:p>
          <w:p w:rsidR="001F0A71" w:rsidRPr="00D0316E" w:rsidRDefault="001F0A71" w:rsidP="00473231">
            <w:pPr>
              <w:widowControl w:val="0"/>
              <w:spacing w:before="60" w:after="60" w:line="240" w:lineRule="auto"/>
              <w:rPr>
                <w:rFonts w:ascii="Times New Roman" w:hAnsi="Times New Roman"/>
                <w:b/>
                <w:sz w:val="28"/>
                <w:szCs w:val="28"/>
                <w:lang w:val="uk-UA"/>
              </w:rPr>
            </w:pPr>
            <w:r w:rsidRPr="00D0316E">
              <w:rPr>
                <w:rFonts w:ascii="Times New Roman" w:hAnsi="Times New Roman"/>
                <w:sz w:val="28"/>
                <w:szCs w:val="28"/>
                <w:lang w:val="uk-UA"/>
              </w:rPr>
              <w:t>250 мг⁄кг</w:t>
            </w:r>
          </w:p>
        </w:tc>
        <w:tc>
          <w:tcPr>
            <w:tcW w:w="127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4</w:t>
            </w:r>
          </w:p>
        </w:tc>
        <w:tc>
          <w:tcPr>
            <w:tcW w:w="1985"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6,74±0,19º</w:t>
            </w:r>
          </w:p>
        </w:tc>
        <w:tc>
          <w:tcPr>
            <w:tcW w:w="212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0,116±0,007º</w:t>
            </w:r>
          </w:p>
        </w:tc>
        <w:tc>
          <w:tcPr>
            <w:tcW w:w="1978"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61,0±3,72º</w:t>
            </w:r>
          </w:p>
        </w:tc>
      </w:tr>
      <w:tr w:rsidR="001F0A71" w:rsidRPr="00D0316E" w:rsidTr="001F0A71">
        <w:trPr>
          <w:trHeight w:val="548"/>
        </w:trPr>
        <w:tc>
          <w:tcPr>
            <w:tcW w:w="2722" w:type="dxa"/>
            <w:vMerge/>
            <w:vAlign w:val="center"/>
          </w:tcPr>
          <w:p w:rsidR="001F0A71" w:rsidRPr="00D0316E" w:rsidRDefault="001F0A71" w:rsidP="00473231">
            <w:pPr>
              <w:widowControl w:val="0"/>
              <w:spacing w:before="60" w:after="60" w:line="240" w:lineRule="auto"/>
              <w:rPr>
                <w:rFonts w:ascii="Times New Roman" w:hAnsi="Times New Roman"/>
                <w:sz w:val="28"/>
                <w:szCs w:val="28"/>
                <w:lang w:val="uk-UA"/>
              </w:rPr>
            </w:pPr>
          </w:p>
        </w:tc>
        <w:tc>
          <w:tcPr>
            <w:tcW w:w="127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21</w:t>
            </w:r>
          </w:p>
        </w:tc>
        <w:tc>
          <w:tcPr>
            <w:tcW w:w="1985"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5,13±0,23º*</w:t>
            </w:r>
          </w:p>
        </w:tc>
        <w:tc>
          <w:tcPr>
            <w:tcW w:w="2126"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0,170±0,013º</w:t>
            </w:r>
          </w:p>
        </w:tc>
        <w:tc>
          <w:tcPr>
            <w:tcW w:w="1978" w:type="dxa"/>
            <w:vAlign w:val="center"/>
          </w:tcPr>
          <w:p w:rsidR="001F0A71" w:rsidRPr="00D0316E" w:rsidRDefault="001F0A71" w:rsidP="00473231">
            <w:pPr>
              <w:widowControl w:val="0"/>
              <w:spacing w:before="60" w:after="60" w:line="240" w:lineRule="auto"/>
              <w:jc w:val="center"/>
              <w:rPr>
                <w:rFonts w:ascii="Times New Roman" w:hAnsi="Times New Roman"/>
                <w:sz w:val="28"/>
                <w:szCs w:val="28"/>
                <w:lang w:val="uk-UA"/>
              </w:rPr>
            </w:pPr>
            <w:r w:rsidRPr="00D0316E">
              <w:rPr>
                <w:rFonts w:ascii="Times New Roman" w:hAnsi="Times New Roman"/>
                <w:sz w:val="28"/>
                <w:szCs w:val="28"/>
                <w:lang w:val="uk-UA"/>
              </w:rPr>
              <w:t>31,8±1,79º*</w:t>
            </w:r>
          </w:p>
        </w:tc>
      </w:tr>
    </w:tbl>
    <w:p w:rsidR="001F0A71" w:rsidRPr="0036311A" w:rsidRDefault="001F0A71" w:rsidP="0069152C">
      <w:pPr>
        <w:widowControl w:val="0"/>
        <w:tabs>
          <w:tab w:val="left" w:pos="1080"/>
        </w:tabs>
        <w:spacing w:after="0" w:line="240" w:lineRule="auto"/>
        <w:ind w:firstLine="284"/>
        <w:jc w:val="both"/>
        <w:rPr>
          <w:rFonts w:ascii="Times New Roman" w:hAnsi="Times New Roman"/>
          <w:sz w:val="28"/>
          <w:szCs w:val="28"/>
          <w:lang w:val="uk-UA"/>
        </w:rPr>
      </w:pPr>
    </w:p>
    <w:p w:rsidR="001F0A71" w:rsidRDefault="001F0A71" w:rsidP="0069152C">
      <w:pPr>
        <w:widowControl w:val="0"/>
        <w:tabs>
          <w:tab w:val="left" w:pos="1080"/>
        </w:tabs>
        <w:spacing w:after="0" w:line="240" w:lineRule="auto"/>
        <w:ind w:firstLine="284"/>
        <w:jc w:val="both"/>
        <w:rPr>
          <w:rFonts w:ascii="Times New Roman" w:hAnsi="Times New Roman"/>
          <w:sz w:val="28"/>
          <w:szCs w:val="28"/>
          <w:lang w:val="uk-UA"/>
        </w:rPr>
      </w:pPr>
      <w:r w:rsidRPr="00D0316E">
        <w:rPr>
          <w:rFonts w:ascii="Times New Roman" w:hAnsi="Times New Roman"/>
          <w:sz w:val="28"/>
          <w:szCs w:val="28"/>
          <w:lang w:val="uk-UA"/>
        </w:rPr>
        <w:t>Примітки:</w:t>
      </w:r>
    </w:p>
    <w:p w:rsidR="001F0A71" w:rsidRPr="00D0316E" w:rsidRDefault="001F0A71" w:rsidP="00086591">
      <w:pPr>
        <w:widowControl w:val="0"/>
        <w:numPr>
          <w:ilvl w:val="0"/>
          <w:numId w:val="27"/>
        </w:numPr>
        <w:tabs>
          <w:tab w:val="left" w:pos="993"/>
          <w:tab w:val="left" w:pos="1701"/>
        </w:tabs>
        <w:spacing w:after="0" w:line="360" w:lineRule="auto"/>
        <w:ind w:left="709" w:firstLine="0"/>
        <w:jc w:val="both"/>
        <w:rPr>
          <w:rFonts w:ascii="Times New Roman" w:hAnsi="Times New Roman"/>
          <w:sz w:val="28"/>
          <w:szCs w:val="28"/>
          <w:lang w:val="uk-UA"/>
        </w:rPr>
      </w:pPr>
      <w:r w:rsidRPr="00D0316E">
        <w:rPr>
          <w:rFonts w:ascii="Times New Roman" w:hAnsi="Times New Roman"/>
          <w:sz w:val="28"/>
          <w:szCs w:val="28"/>
          <w:lang w:val="uk-UA"/>
        </w:rPr>
        <w:t>º – р&lt;0,05 відносно псевдооперованих тварин;</w:t>
      </w:r>
    </w:p>
    <w:p w:rsidR="001F0A71" w:rsidRPr="00D0316E" w:rsidRDefault="001F0A71" w:rsidP="00086591">
      <w:pPr>
        <w:pStyle w:val="a5"/>
        <w:widowControl w:val="0"/>
        <w:numPr>
          <w:ilvl w:val="0"/>
          <w:numId w:val="27"/>
        </w:numPr>
        <w:tabs>
          <w:tab w:val="left" w:pos="993"/>
        </w:tabs>
        <w:spacing w:after="0" w:line="360" w:lineRule="auto"/>
        <w:ind w:left="709" w:firstLine="0"/>
        <w:jc w:val="both"/>
        <w:rPr>
          <w:rFonts w:ascii="Times New Roman" w:hAnsi="Times New Roman"/>
          <w:sz w:val="28"/>
          <w:szCs w:val="28"/>
          <w:lang w:val="uk-UA"/>
        </w:rPr>
      </w:pPr>
      <w:r w:rsidRPr="00D0316E">
        <w:rPr>
          <w:rFonts w:ascii="Times New Roman" w:hAnsi="Times New Roman"/>
          <w:sz w:val="28"/>
          <w:szCs w:val="28"/>
          <w:lang w:val="uk-UA"/>
        </w:rPr>
        <w:t>* – р&lt;0,05 відносно контрольної патології;</w:t>
      </w:r>
    </w:p>
    <w:p w:rsidR="001F0A71" w:rsidRPr="00D0316E" w:rsidRDefault="001F0A71" w:rsidP="00086591">
      <w:pPr>
        <w:pStyle w:val="a5"/>
        <w:widowControl w:val="0"/>
        <w:numPr>
          <w:ilvl w:val="0"/>
          <w:numId w:val="27"/>
        </w:numPr>
        <w:tabs>
          <w:tab w:val="left" w:pos="993"/>
        </w:tabs>
        <w:spacing w:after="0" w:line="360" w:lineRule="auto"/>
        <w:ind w:left="709" w:firstLine="0"/>
        <w:jc w:val="both"/>
        <w:rPr>
          <w:rFonts w:ascii="Times New Roman" w:hAnsi="Times New Roman"/>
          <w:sz w:val="28"/>
          <w:szCs w:val="28"/>
          <w:lang w:val="uk-UA"/>
        </w:rPr>
      </w:pPr>
      <w:r w:rsidRPr="00D0316E">
        <w:rPr>
          <w:rFonts w:ascii="Times New Roman" w:hAnsi="Times New Roman"/>
          <w:sz w:val="28"/>
          <w:szCs w:val="28"/>
          <w:vertAlign w:val="superscript"/>
          <w:lang w:val="uk-UA"/>
        </w:rPr>
        <w:t xml:space="preserve"># </w:t>
      </w:r>
      <w:r w:rsidRPr="00D0316E">
        <w:rPr>
          <w:rFonts w:ascii="Times New Roman" w:hAnsi="Times New Roman"/>
          <w:sz w:val="28"/>
          <w:szCs w:val="28"/>
          <w:lang w:val="uk-UA"/>
        </w:rPr>
        <w:t>– р&lt;0,05 у відповідні строки між адемолом та магнію сульфатом;</w:t>
      </w:r>
    </w:p>
    <w:p w:rsidR="001F0A71" w:rsidRPr="00D0316E" w:rsidRDefault="001F0A71" w:rsidP="00086591">
      <w:pPr>
        <w:pStyle w:val="a5"/>
        <w:widowControl w:val="0"/>
        <w:numPr>
          <w:ilvl w:val="0"/>
          <w:numId w:val="27"/>
        </w:numPr>
        <w:tabs>
          <w:tab w:val="left" w:pos="993"/>
        </w:tabs>
        <w:spacing w:after="0" w:line="360" w:lineRule="auto"/>
        <w:ind w:left="709" w:firstLine="0"/>
        <w:jc w:val="both"/>
        <w:rPr>
          <w:rFonts w:ascii="Times New Roman" w:hAnsi="Times New Roman"/>
          <w:sz w:val="28"/>
          <w:szCs w:val="28"/>
          <w:lang w:val="uk-UA"/>
        </w:rPr>
      </w:pPr>
      <w:r w:rsidRPr="00D0316E">
        <w:rPr>
          <w:rFonts w:ascii="Times New Roman" w:hAnsi="Times New Roman"/>
          <w:sz w:val="28"/>
          <w:szCs w:val="28"/>
          <w:vertAlign w:val="superscript"/>
          <w:lang w:val="uk-UA"/>
        </w:rPr>
        <w:t>&amp;</w:t>
      </w:r>
      <w:r w:rsidRPr="00D0316E">
        <w:rPr>
          <w:rFonts w:ascii="Times New Roman" w:hAnsi="Times New Roman"/>
          <w:sz w:val="28"/>
          <w:szCs w:val="28"/>
          <w:lang w:val="uk-UA"/>
        </w:rPr>
        <w:t>– р&lt;0,05 у відповідні строки між адемолом та амантадином;</w:t>
      </w:r>
    </w:p>
    <w:p w:rsidR="001F0A71" w:rsidRPr="00D0316E" w:rsidRDefault="001F0A71" w:rsidP="00086591">
      <w:pPr>
        <w:pStyle w:val="a5"/>
        <w:widowControl w:val="0"/>
        <w:numPr>
          <w:ilvl w:val="0"/>
          <w:numId w:val="27"/>
        </w:numPr>
        <w:tabs>
          <w:tab w:val="left" w:pos="993"/>
        </w:tabs>
        <w:spacing w:after="0" w:line="360" w:lineRule="auto"/>
        <w:ind w:left="709" w:firstLine="0"/>
        <w:jc w:val="both"/>
        <w:rPr>
          <w:rFonts w:ascii="Times New Roman" w:hAnsi="Times New Roman"/>
          <w:sz w:val="28"/>
          <w:szCs w:val="28"/>
          <w:lang w:val="uk-UA"/>
        </w:rPr>
      </w:pPr>
      <w:r w:rsidRPr="00D0316E">
        <w:rPr>
          <w:rFonts w:ascii="Times New Roman" w:hAnsi="Times New Roman"/>
          <w:sz w:val="28"/>
          <w:szCs w:val="28"/>
          <w:vertAlign w:val="superscript"/>
          <w:lang w:val="uk-UA"/>
        </w:rPr>
        <w:t xml:space="preserve">α </w:t>
      </w:r>
      <w:r w:rsidRPr="00D0316E">
        <w:rPr>
          <w:rFonts w:ascii="Times New Roman" w:hAnsi="Times New Roman"/>
          <w:sz w:val="28"/>
          <w:szCs w:val="28"/>
          <w:lang w:val="uk-UA"/>
        </w:rPr>
        <w:t>– р&lt;0,05 у відповідні строки між адемолом та німодипіном</w:t>
      </w:r>
      <w:r>
        <w:rPr>
          <w:rFonts w:ascii="Times New Roman" w:hAnsi="Times New Roman"/>
          <w:sz w:val="28"/>
          <w:szCs w:val="28"/>
          <w:lang w:val="uk-UA"/>
        </w:rPr>
        <w:t>.</w:t>
      </w:r>
    </w:p>
    <w:p w:rsidR="001F0A71" w:rsidRPr="0036311A" w:rsidRDefault="001F0A71" w:rsidP="0069152C">
      <w:pPr>
        <w:widowControl w:val="0"/>
        <w:spacing w:after="0" w:line="360" w:lineRule="auto"/>
        <w:ind w:firstLine="284"/>
        <w:jc w:val="both"/>
        <w:rPr>
          <w:rFonts w:ascii="Times New Roman" w:hAnsi="Times New Roman"/>
          <w:sz w:val="28"/>
          <w:szCs w:val="28"/>
          <w:lang w:val="uk-UA"/>
        </w:rPr>
      </w:pPr>
    </w:p>
    <w:p w:rsidR="001F0A71" w:rsidRPr="00F42677" w:rsidRDefault="001F0A7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lastRenderedPageBreak/>
        <w:t>Натомість, 21-но денна фармакотерапія САК, проти попереднього строку (4-та доба), закономірно до динаміки макроергів виявляла достеменно ліпшу коригувальну дію на порушений метаболізм глюкози. Так, введення німодипіну, адемолу, амантадину сульфату та магнію сульфату викликало вірогідне збільшення вмісту пірувату відповідно на 91,0, 97,9, 62,4 та 18,1 %, зниження рівня лактату – на 48,0</w:t>
      </w:r>
      <w:r>
        <w:rPr>
          <w:rFonts w:ascii="Times New Roman" w:hAnsi="Times New Roman"/>
          <w:sz w:val="28"/>
          <w:szCs w:val="28"/>
          <w:lang w:val="uk-UA"/>
        </w:rPr>
        <w:t>;</w:t>
      </w:r>
      <w:r w:rsidRPr="00F42677">
        <w:rPr>
          <w:rFonts w:ascii="Times New Roman" w:hAnsi="Times New Roman"/>
          <w:sz w:val="28"/>
          <w:szCs w:val="28"/>
          <w:lang w:val="uk-UA"/>
        </w:rPr>
        <w:t xml:space="preserve"> 57,4</w:t>
      </w:r>
      <w:r>
        <w:rPr>
          <w:rFonts w:ascii="Times New Roman" w:hAnsi="Times New Roman"/>
          <w:sz w:val="28"/>
          <w:szCs w:val="28"/>
          <w:lang w:val="uk-UA"/>
        </w:rPr>
        <w:t>;</w:t>
      </w:r>
      <w:r w:rsidRPr="00F42677">
        <w:rPr>
          <w:rFonts w:ascii="Times New Roman" w:hAnsi="Times New Roman"/>
          <w:sz w:val="28"/>
          <w:szCs w:val="28"/>
          <w:lang w:val="uk-UA"/>
        </w:rPr>
        <w:t xml:space="preserve"> 38,0 та 14,8 %, а також зменшення співвідношення лактат / піруват – 74,7</w:t>
      </w:r>
      <w:r>
        <w:rPr>
          <w:rFonts w:ascii="Times New Roman" w:hAnsi="Times New Roman"/>
          <w:sz w:val="28"/>
          <w:szCs w:val="28"/>
          <w:lang w:val="uk-UA"/>
        </w:rPr>
        <w:t>;</w:t>
      </w:r>
      <w:r w:rsidRPr="00F42677">
        <w:rPr>
          <w:rFonts w:ascii="Times New Roman" w:hAnsi="Times New Roman"/>
          <w:sz w:val="28"/>
          <w:szCs w:val="28"/>
          <w:lang w:val="uk-UA"/>
        </w:rPr>
        <w:t xml:space="preserve"> 80,0</w:t>
      </w:r>
      <w:r>
        <w:rPr>
          <w:rFonts w:ascii="Times New Roman" w:hAnsi="Times New Roman"/>
          <w:sz w:val="28"/>
          <w:szCs w:val="28"/>
          <w:lang w:val="uk-UA"/>
        </w:rPr>
        <w:t>;</w:t>
      </w:r>
      <w:r w:rsidRPr="00F42677">
        <w:rPr>
          <w:rFonts w:ascii="Times New Roman" w:hAnsi="Times New Roman"/>
          <w:sz w:val="28"/>
          <w:szCs w:val="28"/>
          <w:lang w:val="uk-UA"/>
        </w:rPr>
        <w:t xml:space="preserve"> 63,7 та 29,3 %, порівняно із значеннями у тварин групи контрольної патології.</w:t>
      </w:r>
    </w:p>
    <w:p w:rsidR="001F0A71" w:rsidRPr="001F0A71" w:rsidRDefault="001F0A7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 xml:space="preserve">Таким чином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42677">
        <w:rPr>
          <w:rFonts w:ascii="Times New Roman" w:hAnsi="Times New Roman"/>
          <w:sz w:val="28"/>
          <w:szCs w:val="28"/>
          <w:lang w:val="uk-UA"/>
        </w:rPr>
        <w:t xml:space="preserve"> супроводжувався вираженими пертурбаціями обмінних процесів у головному мозку щурів. За цих умов в тканинах мозку реєструвалось пригнічення аеробного окиснення глюкози, посилення анаеробного гліколізу та розвиток лактатацидозу (доказом чого було зменшення вмісту пірувату та зростання рівня лактату й співвідношення лактат / піруват). Поряд з цим в тканинах головного мозку розвивався гіпоенергетичний стан (зменшувався енергетичний заряд клітин), знижувались запаси макроергічнихсполук (АТФ), пригнічувався процес окисного фосфорилування (зрос</w:t>
      </w:r>
      <w:r w:rsidRPr="001F0A71">
        <w:rPr>
          <w:rFonts w:ascii="Times New Roman" w:hAnsi="Times New Roman"/>
          <w:sz w:val="28"/>
          <w:szCs w:val="28"/>
          <w:lang w:val="uk-UA"/>
        </w:rPr>
        <w:t xml:space="preserve">тав вміст АДФ, АМФ та виникав дефіцит АТФ) та зменшувалась ступінь його супряження з тканинним диханням. </w:t>
      </w:r>
    </w:p>
    <w:p w:rsidR="001F0A71" w:rsidRPr="003515F0" w:rsidRDefault="001F0A71" w:rsidP="0069152C">
      <w:pPr>
        <w:pStyle w:val="2"/>
        <w:spacing w:line="360" w:lineRule="auto"/>
        <w:ind w:firstLine="284"/>
        <w:jc w:val="both"/>
        <w:rPr>
          <w:rFonts w:ascii="Times New Roman" w:hAnsi="Times New Roman" w:cs="Times New Roman"/>
          <w:color w:val="auto"/>
          <w:sz w:val="28"/>
          <w:szCs w:val="28"/>
          <w:lang w:val="uk-UA" w:eastAsia="uk-UA"/>
        </w:rPr>
      </w:pPr>
      <w:r w:rsidRPr="003515F0">
        <w:rPr>
          <w:rFonts w:ascii="Times New Roman" w:hAnsi="Times New Roman" w:cs="Times New Roman"/>
          <w:color w:val="auto"/>
          <w:sz w:val="28"/>
          <w:szCs w:val="28"/>
          <w:lang w:val="uk-UA"/>
        </w:rPr>
        <w:t xml:space="preserve">6.2 Вплив адемолу на перебіг оксидативного стресу та </w:t>
      </w:r>
      <w:r w:rsidRPr="003515F0">
        <w:rPr>
          <w:rFonts w:ascii="Times New Roman" w:hAnsi="Times New Roman" w:cs="Times New Roman"/>
          <w:color w:val="auto"/>
          <w:sz w:val="28"/>
          <w:szCs w:val="28"/>
          <w:lang w:val="uk-UA" w:eastAsia="uk-UA"/>
        </w:rPr>
        <w:t>обмін монооксиду азоту в головному мозку щурів із субарахноїдальним крововиливом</w:t>
      </w:r>
    </w:p>
    <w:p w:rsidR="001F0A71" w:rsidRPr="00F42677" w:rsidRDefault="001F0A71" w:rsidP="0069152C">
      <w:pPr>
        <w:widowControl w:val="0"/>
        <w:spacing w:after="0" w:line="360" w:lineRule="auto"/>
        <w:ind w:firstLine="284"/>
        <w:jc w:val="both"/>
        <w:rPr>
          <w:rFonts w:ascii="Times New Roman" w:hAnsi="Times New Roman"/>
          <w:sz w:val="28"/>
          <w:szCs w:val="28"/>
          <w:lang w:val="uk-UA"/>
        </w:rPr>
      </w:pPr>
      <w:r w:rsidRPr="001F0A71">
        <w:rPr>
          <w:rFonts w:ascii="Times New Roman" w:hAnsi="Times New Roman"/>
          <w:sz w:val="28"/>
          <w:szCs w:val="28"/>
          <w:lang w:val="uk-UA"/>
        </w:rPr>
        <w:t xml:space="preserve">Оцінка оксидативного статусу нейронів головного мозку в умовах ВМК на тлі терапії адемолом за традиційними маркерними величинами цього процесу, є вкрай важливим для кращого розуміння </w:t>
      </w:r>
      <w:r w:rsidRPr="00F42677">
        <w:rPr>
          <w:rFonts w:ascii="Times New Roman" w:hAnsi="Times New Roman"/>
          <w:sz w:val="28"/>
          <w:szCs w:val="28"/>
          <w:lang w:val="uk-UA"/>
        </w:rPr>
        <w:t>внутрішньоклітинних метаболітотропних механізмів його церебпротекторної активності. Справедливість такої тези стає очевидною, якщо зважити на той факт, що продукти ліпопероксидації та окисної модифікації білків, рівною мірою є тригерними факторами для індукції як апоптозу, так і некробіозу. Отож, антиоксидантна дія адемолу може лежати в основі його захисного впливу на головний мозок. З’ясуванню цього фармакодинамічного аспекту препарату було присвячено наступне дослідження (табл. 6.3).</w:t>
      </w:r>
    </w:p>
    <w:p w:rsidR="001F0A71" w:rsidRPr="00F42677" w:rsidRDefault="001F0A71" w:rsidP="0069152C">
      <w:pPr>
        <w:widowControl w:val="0"/>
        <w:spacing w:after="0" w:line="360" w:lineRule="auto"/>
        <w:ind w:firstLine="284"/>
        <w:jc w:val="both"/>
        <w:rPr>
          <w:rFonts w:ascii="Times New Roman" w:hAnsi="Times New Roman"/>
          <w:sz w:val="28"/>
          <w:szCs w:val="28"/>
          <w:lang w:val="uk-UA"/>
        </w:rPr>
      </w:pP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42677">
        <w:rPr>
          <w:rFonts w:ascii="Times New Roman" w:hAnsi="Times New Roman"/>
          <w:sz w:val="28"/>
          <w:szCs w:val="28"/>
          <w:lang w:val="uk-UA"/>
        </w:rPr>
        <w:t xml:space="preserve"> у щурів супроводжувався активацією в мозку процесів вільнорадикального окиснення ліпідів та протеїнів. Станом на 4-ту та 21-шу добу після модулювання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42677">
        <w:rPr>
          <w:rFonts w:ascii="Times New Roman" w:hAnsi="Times New Roman"/>
          <w:sz w:val="28"/>
          <w:szCs w:val="28"/>
          <w:lang w:val="uk-UA"/>
        </w:rPr>
        <w:t xml:space="preserve"> відмічалось статистично вірогідне зростання вмісту МДА відповідно в 2,5 та </w:t>
      </w:r>
      <w:r w:rsidRPr="00F42677">
        <w:rPr>
          <w:rFonts w:ascii="Times New Roman" w:hAnsi="Times New Roman"/>
          <w:sz w:val="28"/>
          <w:szCs w:val="28"/>
          <w:lang w:val="uk-UA"/>
        </w:rPr>
        <w:lastRenderedPageBreak/>
        <w:t xml:space="preserve">2,2 рази, а також КГП в середньому на 71,0 та 57,7 %, порівняно з аналогічними показниками у групі псевдооперованих тварин. </w:t>
      </w:r>
    </w:p>
    <w:p w:rsidR="005A60C3" w:rsidRDefault="005A60C3" w:rsidP="001F0A71">
      <w:pPr>
        <w:pStyle w:val="-1"/>
        <w:widowControl w:val="0"/>
        <w:spacing w:line="360" w:lineRule="auto"/>
        <w:ind w:firstLine="284"/>
        <w:jc w:val="right"/>
        <w:rPr>
          <w:sz w:val="28"/>
          <w:szCs w:val="28"/>
          <w:lang w:val="uk-UA"/>
        </w:rPr>
      </w:pPr>
    </w:p>
    <w:p w:rsidR="001F0A71" w:rsidRPr="00F42677" w:rsidRDefault="001F0A71" w:rsidP="001F0A71">
      <w:pPr>
        <w:pStyle w:val="-1"/>
        <w:widowControl w:val="0"/>
        <w:spacing w:line="360" w:lineRule="auto"/>
        <w:ind w:firstLine="284"/>
        <w:jc w:val="right"/>
        <w:rPr>
          <w:lang w:val="uk-UA"/>
        </w:rPr>
      </w:pPr>
      <w:r w:rsidRPr="00F42677">
        <w:rPr>
          <w:sz w:val="28"/>
          <w:szCs w:val="28"/>
          <w:lang w:val="uk-UA"/>
        </w:rPr>
        <w:t>Таблиця 6.3</w:t>
      </w:r>
    </w:p>
    <w:p w:rsidR="001F0A71" w:rsidRDefault="001F0A71" w:rsidP="001F0A71">
      <w:pPr>
        <w:widowControl w:val="0"/>
        <w:spacing w:after="0" w:line="360" w:lineRule="auto"/>
        <w:jc w:val="center"/>
        <w:rPr>
          <w:rFonts w:ascii="Times New Roman" w:hAnsi="Times New Roman"/>
          <w:sz w:val="28"/>
          <w:szCs w:val="28"/>
          <w:lang w:val="uk-UA"/>
        </w:rPr>
      </w:pPr>
      <w:r w:rsidRPr="00F42677">
        <w:rPr>
          <w:rFonts w:ascii="Times New Roman" w:hAnsi="Times New Roman"/>
          <w:sz w:val="28"/>
          <w:szCs w:val="28"/>
          <w:lang w:val="uk-UA"/>
        </w:rPr>
        <w:t xml:space="preserve">Динаміка впливу адемолу на вміст продуктів пероксидації ліпідів та протеїнів </w:t>
      </w:r>
    </w:p>
    <w:p w:rsidR="001F0A71" w:rsidRDefault="001F0A71" w:rsidP="001F0A71">
      <w:pPr>
        <w:widowControl w:val="0"/>
        <w:spacing w:after="0" w:line="360" w:lineRule="auto"/>
        <w:jc w:val="center"/>
        <w:rPr>
          <w:rFonts w:ascii="Times New Roman" w:hAnsi="Times New Roman"/>
          <w:sz w:val="28"/>
          <w:szCs w:val="28"/>
          <w:lang w:val="uk-UA"/>
        </w:rPr>
      </w:pPr>
      <w:r>
        <w:rPr>
          <w:rFonts w:ascii="Times New Roman" w:hAnsi="Times New Roman"/>
          <w:sz w:val="28"/>
          <w:szCs w:val="28"/>
          <w:lang w:val="uk-UA"/>
        </w:rPr>
        <w:t>у мозку щурів за умов внутрішньочерепного крововиливу</w:t>
      </w:r>
    </w:p>
    <w:p w:rsidR="001F0A71" w:rsidRDefault="001F0A71" w:rsidP="001F0A71">
      <w:pPr>
        <w:widowControl w:val="0"/>
        <w:spacing w:after="0" w:line="360" w:lineRule="auto"/>
        <w:jc w:val="center"/>
        <w:rPr>
          <w:rFonts w:ascii="Times New Roman" w:hAnsi="Times New Roman"/>
          <w:sz w:val="28"/>
          <w:szCs w:val="28"/>
          <w:lang w:val="uk-UA"/>
        </w:rPr>
      </w:pPr>
      <w:r w:rsidRPr="00F42677">
        <w:rPr>
          <w:rFonts w:ascii="Times New Roman" w:hAnsi="Times New Roman"/>
          <w:sz w:val="28"/>
          <w:szCs w:val="28"/>
          <w:lang w:val="uk-UA"/>
        </w:rPr>
        <w:t>в різні терміни експерименту</w:t>
      </w:r>
      <w:r>
        <w:rPr>
          <w:rFonts w:ascii="Times New Roman" w:hAnsi="Times New Roman"/>
          <w:sz w:val="28"/>
          <w:szCs w:val="28"/>
          <w:lang w:val="uk-UA"/>
        </w:rPr>
        <w:t xml:space="preserve">, </w:t>
      </w:r>
      <w:r w:rsidRPr="00F42677">
        <w:rPr>
          <w:rFonts w:ascii="Times New Roman" w:hAnsi="Times New Roman"/>
          <w:sz w:val="28"/>
          <w:szCs w:val="28"/>
          <w:lang w:val="uk-UA"/>
        </w:rPr>
        <w:t>М±m</w:t>
      </w:r>
      <w:r>
        <w:rPr>
          <w:rFonts w:ascii="Times New Roman" w:hAnsi="Times New Roman"/>
          <w:sz w:val="28"/>
          <w:szCs w:val="28"/>
          <w:lang w:val="uk-UA"/>
        </w:rPr>
        <w:t>(</w:t>
      </w:r>
      <w:r w:rsidRPr="00090011">
        <w:rPr>
          <w:rFonts w:ascii="Times New Roman" w:hAnsi="Times New Roman"/>
          <w:sz w:val="28"/>
          <w:szCs w:val="28"/>
          <w:lang w:val="uk-UA"/>
        </w:rPr>
        <w:t>n=15</w:t>
      </w:r>
      <w:r w:rsidRPr="00F42677">
        <w:rPr>
          <w:rFonts w:ascii="Times New Roman" w:hAnsi="Times New Roman"/>
          <w:sz w:val="28"/>
          <w:szCs w:val="28"/>
          <w:lang w:val="uk-UA"/>
        </w:rPr>
        <w:t>)</w:t>
      </w:r>
    </w:p>
    <w:p w:rsidR="0036311A" w:rsidRDefault="0036311A" w:rsidP="001F0A71">
      <w:pPr>
        <w:widowControl w:val="0"/>
        <w:spacing w:after="0" w:line="360" w:lineRule="auto"/>
        <w:jc w:val="center"/>
        <w:rPr>
          <w:rFonts w:ascii="Times New Roman" w:hAnsi="Times New Roman"/>
          <w:sz w:val="28"/>
          <w:szCs w:val="28"/>
          <w:lang w:val="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0"/>
        <w:gridCol w:w="1884"/>
        <w:gridCol w:w="2268"/>
        <w:gridCol w:w="1956"/>
      </w:tblGrid>
      <w:tr w:rsidR="001F0A71" w:rsidRPr="00321E29" w:rsidTr="001F0A71">
        <w:trPr>
          <w:trHeight w:val="270"/>
        </w:trPr>
        <w:tc>
          <w:tcPr>
            <w:tcW w:w="3390" w:type="dxa"/>
            <w:vMerge w:val="restart"/>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Групи тварин</w:t>
            </w:r>
          </w:p>
        </w:tc>
        <w:tc>
          <w:tcPr>
            <w:tcW w:w="1884" w:type="dxa"/>
            <w:vMerge w:val="restart"/>
            <w:vAlign w:val="center"/>
          </w:tcPr>
          <w:p w:rsidR="001F0A71" w:rsidRPr="00321E29" w:rsidRDefault="001F0A71" w:rsidP="00086591">
            <w:pPr>
              <w:widowControl w:val="0"/>
              <w:spacing w:before="60" w:after="60" w:line="240" w:lineRule="auto"/>
              <w:ind w:right="113"/>
              <w:jc w:val="center"/>
              <w:rPr>
                <w:rFonts w:ascii="Times New Roman" w:hAnsi="Times New Roman"/>
                <w:sz w:val="28"/>
                <w:szCs w:val="28"/>
                <w:lang w:val="uk-UA"/>
              </w:rPr>
            </w:pPr>
            <w:r w:rsidRPr="00321E29">
              <w:rPr>
                <w:rFonts w:ascii="Times New Roman" w:hAnsi="Times New Roman"/>
                <w:sz w:val="28"/>
                <w:szCs w:val="28"/>
                <w:lang w:val="uk-UA"/>
              </w:rPr>
              <w:t>Термін</w:t>
            </w:r>
          </w:p>
          <w:p w:rsidR="001F0A71" w:rsidRPr="00321E29" w:rsidRDefault="001F0A71" w:rsidP="00086591">
            <w:pPr>
              <w:widowControl w:val="0"/>
              <w:spacing w:before="60" w:after="60" w:line="240" w:lineRule="auto"/>
              <w:ind w:right="-108"/>
              <w:jc w:val="center"/>
              <w:rPr>
                <w:rFonts w:ascii="Times New Roman" w:hAnsi="Times New Roman"/>
                <w:sz w:val="28"/>
                <w:szCs w:val="28"/>
                <w:lang w:val="uk-UA"/>
              </w:rPr>
            </w:pPr>
            <w:r w:rsidRPr="00321E29">
              <w:rPr>
                <w:rFonts w:ascii="Times New Roman" w:hAnsi="Times New Roman"/>
                <w:sz w:val="28"/>
                <w:szCs w:val="28"/>
                <w:lang w:val="uk-UA"/>
              </w:rPr>
              <w:t>експерименту (доба)</w:t>
            </w:r>
          </w:p>
        </w:tc>
        <w:tc>
          <w:tcPr>
            <w:tcW w:w="4224" w:type="dxa"/>
            <w:gridSpan w:val="2"/>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Показники</w:t>
            </w:r>
          </w:p>
        </w:tc>
      </w:tr>
      <w:tr w:rsidR="001F0A71" w:rsidRPr="00321E29" w:rsidTr="001F0A71">
        <w:trPr>
          <w:trHeight w:val="270"/>
        </w:trPr>
        <w:tc>
          <w:tcPr>
            <w:tcW w:w="3390" w:type="dxa"/>
            <w:vMerge/>
            <w:vAlign w:val="center"/>
          </w:tcPr>
          <w:p w:rsidR="001F0A71" w:rsidRPr="00321E29" w:rsidRDefault="001F0A71" w:rsidP="00086591">
            <w:pPr>
              <w:widowControl w:val="0"/>
              <w:spacing w:before="60" w:after="60" w:line="240" w:lineRule="auto"/>
              <w:rPr>
                <w:rFonts w:ascii="Times New Roman" w:hAnsi="Times New Roman"/>
                <w:sz w:val="28"/>
                <w:szCs w:val="28"/>
                <w:lang w:val="uk-UA"/>
              </w:rPr>
            </w:pPr>
          </w:p>
        </w:tc>
        <w:tc>
          <w:tcPr>
            <w:tcW w:w="1884" w:type="dxa"/>
            <w:vMerge/>
            <w:vAlign w:val="center"/>
          </w:tcPr>
          <w:p w:rsidR="001F0A71" w:rsidRPr="00321E29" w:rsidRDefault="001F0A71" w:rsidP="00086591">
            <w:pPr>
              <w:widowControl w:val="0"/>
              <w:spacing w:before="60" w:after="60" w:line="240" w:lineRule="auto"/>
              <w:rPr>
                <w:rFonts w:ascii="Times New Roman" w:hAnsi="Times New Roman"/>
                <w:sz w:val="28"/>
                <w:szCs w:val="28"/>
                <w:lang w:val="uk-UA"/>
              </w:rPr>
            </w:pPr>
          </w:p>
        </w:tc>
        <w:tc>
          <w:tcPr>
            <w:tcW w:w="2268"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 xml:space="preserve">МДА, мкмоль / г </w:t>
            </w:r>
          </w:p>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сухої тканини</w:t>
            </w:r>
          </w:p>
        </w:tc>
        <w:tc>
          <w:tcPr>
            <w:tcW w:w="1956"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КГП, нмоль / мг протеїну</w:t>
            </w:r>
          </w:p>
        </w:tc>
      </w:tr>
      <w:tr w:rsidR="001F0A71" w:rsidRPr="00321E29" w:rsidTr="001F0A71">
        <w:trPr>
          <w:trHeight w:val="319"/>
        </w:trPr>
        <w:tc>
          <w:tcPr>
            <w:tcW w:w="3390" w:type="dxa"/>
            <w:vMerge w:val="restart"/>
            <w:vAlign w:val="center"/>
          </w:tcPr>
          <w:p w:rsidR="001F0A71" w:rsidRPr="00321E29" w:rsidRDefault="001F0A71" w:rsidP="00086591">
            <w:pPr>
              <w:widowControl w:val="0"/>
              <w:spacing w:before="60" w:after="60" w:line="240" w:lineRule="auto"/>
              <w:rPr>
                <w:rFonts w:ascii="Times New Roman" w:hAnsi="Times New Roman"/>
                <w:b/>
                <w:sz w:val="28"/>
                <w:szCs w:val="28"/>
                <w:lang w:val="uk-UA"/>
              </w:rPr>
            </w:pPr>
            <w:r w:rsidRPr="00321E29">
              <w:rPr>
                <w:rFonts w:ascii="Times New Roman" w:hAnsi="Times New Roman"/>
                <w:sz w:val="28"/>
                <w:szCs w:val="28"/>
                <w:lang w:val="uk-UA"/>
              </w:rPr>
              <w:t>Псевдооперовані тварини + 0,9% NаСІ, 2 мл/кг</w:t>
            </w:r>
          </w:p>
        </w:tc>
        <w:tc>
          <w:tcPr>
            <w:tcW w:w="1884"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4</w:t>
            </w:r>
          </w:p>
        </w:tc>
        <w:tc>
          <w:tcPr>
            <w:tcW w:w="2268"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12,4±0,54</w:t>
            </w:r>
          </w:p>
        </w:tc>
        <w:tc>
          <w:tcPr>
            <w:tcW w:w="1956"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4,41±0,14</w:t>
            </w:r>
          </w:p>
        </w:tc>
      </w:tr>
      <w:tr w:rsidR="001F0A71" w:rsidRPr="00321E29" w:rsidTr="001F0A71">
        <w:trPr>
          <w:trHeight w:val="267"/>
        </w:trPr>
        <w:tc>
          <w:tcPr>
            <w:tcW w:w="3390" w:type="dxa"/>
            <w:vMerge/>
            <w:vAlign w:val="center"/>
          </w:tcPr>
          <w:p w:rsidR="001F0A71" w:rsidRPr="00321E29" w:rsidRDefault="001F0A71" w:rsidP="00086591">
            <w:pPr>
              <w:widowControl w:val="0"/>
              <w:spacing w:before="60" w:after="60" w:line="240" w:lineRule="auto"/>
              <w:rPr>
                <w:rFonts w:ascii="Times New Roman" w:hAnsi="Times New Roman"/>
                <w:sz w:val="28"/>
                <w:szCs w:val="28"/>
                <w:lang w:val="uk-UA"/>
              </w:rPr>
            </w:pPr>
          </w:p>
        </w:tc>
        <w:tc>
          <w:tcPr>
            <w:tcW w:w="1884"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21</w:t>
            </w:r>
          </w:p>
        </w:tc>
        <w:tc>
          <w:tcPr>
            <w:tcW w:w="2268"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12,0±0,64</w:t>
            </w:r>
          </w:p>
        </w:tc>
        <w:tc>
          <w:tcPr>
            <w:tcW w:w="1956"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4,30±0,13</w:t>
            </w:r>
          </w:p>
        </w:tc>
      </w:tr>
      <w:tr w:rsidR="001F0A71" w:rsidRPr="00321E29" w:rsidTr="001F0A71">
        <w:trPr>
          <w:trHeight w:val="230"/>
        </w:trPr>
        <w:tc>
          <w:tcPr>
            <w:tcW w:w="3390" w:type="dxa"/>
            <w:vMerge w:val="restart"/>
            <w:vAlign w:val="center"/>
          </w:tcPr>
          <w:p w:rsidR="001F0A71" w:rsidRPr="00321E29" w:rsidRDefault="001F0A71" w:rsidP="00086591">
            <w:pPr>
              <w:widowControl w:val="0"/>
              <w:spacing w:before="60" w:after="60" w:line="240" w:lineRule="auto"/>
              <w:rPr>
                <w:rFonts w:ascii="Times New Roman" w:hAnsi="Times New Roman"/>
                <w:sz w:val="28"/>
                <w:szCs w:val="28"/>
                <w:lang w:val="uk-UA"/>
              </w:rPr>
            </w:pPr>
            <w:r w:rsidRPr="00321E29">
              <w:rPr>
                <w:rFonts w:ascii="Times New Roman" w:hAnsi="Times New Roman"/>
                <w:sz w:val="28"/>
                <w:szCs w:val="28"/>
                <w:lang w:val="uk-UA"/>
              </w:rPr>
              <w:t>САК + 0,9% NаСІ, 2 мл/кг</w:t>
            </w:r>
          </w:p>
        </w:tc>
        <w:tc>
          <w:tcPr>
            <w:tcW w:w="1884"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4</w:t>
            </w:r>
          </w:p>
        </w:tc>
        <w:tc>
          <w:tcPr>
            <w:tcW w:w="2268"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30,5±0,60º</w:t>
            </w:r>
          </w:p>
        </w:tc>
        <w:tc>
          <w:tcPr>
            <w:tcW w:w="1956"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7,54±0,18º</w:t>
            </w:r>
          </w:p>
        </w:tc>
      </w:tr>
      <w:tr w:rsidR="001F0A71" w:rsidRPr="00321E29" w:rsidTr="001F0A71">
        <w:trPr>
          <w:trHeight w:val="319"/>
        </w:trPr>
        <w:tc>
          <w:tcPr>
            <w:tcW w:w="3390" w:type="dxa"/>
            <w:vMerge/>
            <w:vAlign w:val="center"/>
          </w:tcPr>
          <w:p w:rsidR="001F0A71" w:rsidRPr="00321E29" w:rsidRDefault="001F0A71" w:rsidP="00086591">
            <w:pPr>
              <w:widowControl w:val="0"/>
              <w:spacing w:before="60" w:after="60" w:line="240" w:lineRule="auto"/>
              <w:rPr>
                <w:rFonts w:ascii="Times New Roman" w:hAnsi="Times New Roman"/>
                <w:sz w:val="28"/>
                <w:szCs w:val="28"/>
                <w:lang w:val="uk-UA"/>
              </w:rPr>
            </w:pPr>
          </w:p>
        </w:tc>
        <w:tc>
          <w:tcPr>
            <w:tcW w:w="1884"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21</w:t>
            </w:r>
          </w:p>
        </w:tc>
        <w:tc>
          <w:tcPr>
            <w:tcW w:w="2268"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26,6±0,50º</w:t>
            </w:r>
          </w:p>
        </w:tc>
        <w:tc>
          <w:tcPr>
            <w:tcW w:w="1956"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6,78±0,17º</w:t>
            </w:r>
          </w:p>
        </w:tc>
      </w:tr>
      <w:tr w:rsidR="001F0A71" w:rsidRPr="00321E29" w:rsidTr="001F0A71">
        <w:trPr>
          <w:trHeight w:val="126"/>
        </w:trPr>
        <w:tc>
          <w:tcPr>
            <w:tcW w:w="3390" w:type="dxa"/>
            <w:vMerge w:val="restart"/>
            <w:vAlign w:val="center"/>
          </w:tcPr>
          <w:p w:rsidR="001F0A71" w:rsidRPr="00321E29" w:rsidRDefault="001F0A71" w:rsidP="00086591">
            <w:pPr>
              <w:widowControl w:val="0"/>
              <w:spacing w:before="60" w:after="60" w:line="240" w:lineRule="auto"/>
              <w:rPr>
                <w:rFonts w:ascii="Times New Roman" w:hAnsi="Times New Roman"/>
                <w:b/>
                <w:sz w:val="28"/>
                <w:szCs w:val="28"/>
                <w:lang w:val="uk-UA"/>
              </w:rPr>
            </w:pPr>
            <w:r w:rsidRPr="00321E29">
              <w:rPr>
                <w:rFonts w:ascii="Times New Roman" w:hAnsi="Times New Roman"/>
                <w:sz w:val="28"/>
                <w:szCs w:val="28"/>
                <w:lang w:val="uk-UA"/>
              </w:rPr>
              <w:t>САК</w:t>
            </w:r>
            <w:r w:rsidRPr="00321E29">
              <w:rPr>
                <w:rFonts w:ascii="Times New Roman" w:hAnsi="Times New Roman"/>
                <w:b/>
                <w:sz w:val="28"/>
                <w:szCs w:val="28"/>
                <w:lang w:val="uk-UA"/>
              </w:rPr>
              <w:t xml:space="preserve"> + </w:t>
            </w:r>
            <w:r w:rsidRPr="00321E29">
              <w:rPr>
                <w:rFonts w:ascii="Times New Roman" w:hAnsi="Times New Roman"/>
                <w:sz w:val="28"/>
                <w:szCs w:val="28"/>
                <w:lang w:val="uk-UA"/>
              </w:rPr>
              <w:t>адемол, 2 мг⁄кг</w:t>
            </w:r>
          </w:p>
        </w:tc>
        <w:tc>
          <w:tcPr>
            <w:tcW w:w="1884"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4</w:t>
            </w:r>
          </w:p>
        </w:tc>
        <w:tc>
          <w:tcPr>
            <w:tcW w:w="2268"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21,2±0,34º*</w:t>
            </w:r>
          </w:p>
        </w:tc>
        <w:tc>
          <w:tcPr>
            <w:tcW w:w="1956"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6,12±0,19º*</w:t>
            </w:r>
          </w:p>
        </w:tc>
      </w:tr>
      <w:tr w:rsidR="001F0A71" w:rsidRPr="00321E29" w:rsidTr="001F0A71">
        <w:trPr>
          <w:trHeight w:val="229"/>
        </w:trPr>
        <w:tc>
          <w:tcPr>
            <w:tcW w:w="3390" w:type="dxa"/>
            <w:vMerge/>
            <w:vAlign w:val="center"/>
          </w:tcPr>
          <w:p w:rsidR="001F0A71" w:rsidRPr="00321E29" w:rsidRDefault="001F0A71" w:rsidP="00086591">
            <w:pPr>
              <w:widowControl w:val="0"/>
              <w:spacing w:before="60" w:after="60" w:line="240" w:lineRule="auto"/>
              <w:rPr>
                <w:rFonts w:ascii="Times New Roman" w:hAnsi="Times New Roman"/>
                <w:sz w:val="28"/>
                <w:szCs w:val="28"/>
                <w:lang w:val="uk-UA"/>
              </w:rPr>
            </w:pPr>
          </w:p>
        </w:tc>
        <w:tc>
          <w:tcPr>
            <w:tcW w:w="1884"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21</w:t>
            </w:r>
          </w:p>
        </w:tc>
        <w:tc>
          <w:tcPr>
            <w:tcW w:w="2268"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15,0±0,45º*</w:t>
            </w:r>
          </w:p>
        </w:tc>
        <w:tc>
          <w:tcPr>
            <w:tcW w:w="1956"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4,75±0,14º*</w:t>
            </w:r>
          </w:p>
        </w:tc>
      </w:tr>
      <w:tr w:rsidR="001F0A71" w:rsidRPr="00321E29" w:rsidTr="001F0A71">
        <w:trPr>
          <w:trHeight w:val="58"/>
        </w:trPr>
        <w:tc>
          <w:tcPr>
            <w:tcW w:w="3390" w:type="dxa"/>
            <w:vMerge w:val="restart"/>
            <w:vAlign w:val="center"/>
          </w:tcPr>
          <w:p w:rsidR="001F0A71" w:rsidRDefault="001F0A71" w:rsidP="00086591">
            <w:pPr>
              <w:widowControl w:val="0"/>
              <w:spacing w:before="60" w:after="60" w:line="240" w:lineRule="auto"/>
              <w:rPr>
                <w:rFonts w:ascii="Times New Roman" w:hAnsi="Times New Roman"/>
                <w:sz w:val="28"/>
                <w:szCs w:val="28"/>
                <w:lang w:val="uk-UA"/>
              </w:rPr>
            </w:pPr>
            <w:r w:rsidRPr="00321E29">
              <w:rPr>
                <w:rFonts w:ascii="Times New Roman" w:hAnsi="Times New Roman"/>
                <w:sz w:val="28"/>
                <w:szCs w:val="28"/>
                <w:lang w:val="uk-UA"/>
              </w:rPr>
              <w:t>САК + німодипін,</w:t>
            </w:r>
          </w:p>
          <w:p w:rsidR="001F0A71" w:rsidRPr="00321E29" w:rsidRDefault="001F0A71" w:rsidP="00086591">
            <w:pPr>
              <w:widowControl w:val="0"/>
              <w:spacing w:before="60" w:after="60" w:line="240" w:lineRule="auto"/>
              <w:rPr>
                <w:rFonts w:ascii="Times New Roman" w:hAnsi="Times New Roman"/>
                <w:sz w:val="28"/>
                <w:szCs w:val="28"/>
                <w:lang w:val="uk-UA"/>
              </w:rPr>
            </w:pPr>
            <w:r w:rsidRPr="00321E29">
              <w:rPr>
                <w:rFonts w:ascii="Times New Roman" w:hAnsi="Times New Roman"/>
                <w:sz w:val="28"/>
                <w:szCs w:val="28"/>
                <w:lang w:val="uk-UA"/>
              </w:rPr>
              <w:t>30 мкг⁄кг</w:t>
            </w:r>
          </w:p>
        </w:tc>
        <w:tc>
          <w:tcPr>
            <w:tcW w:w="1884"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4</w:t>
            </w:r>
          </w:p>
        </w:tc>
        <w:tc>
          <w:tcPr>
            <w:tcW w:w="2268"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19,5±0,39º*</w:t>
            </w:r>
            <w:r w:rsidRPr="00321E29">
              <w:rPr>
                <w:rFonts w:ascii="Times New Roman" w:hAnsi="Times New Roman"/>
                <w:sz w:val="28"/>
                <w:szCs w:val="28"/>
                <w:vertAlign w:val="superscript"/>
                <w:lang w:val="uk-UA"/>
              </w:rPr>
              <w:t>&amp;#</w:t>
            </w:r>
            <w:r w:rsidRPr="00321E29">
              <w:rPr>
                <w:rFonts w:ascii="Times New Roman" w:hAnsi="Times New Roman"/>
                <w:sz w:val="32"/>
                <w:szCs w:val="32"/>
                <w:vertAlign w:val="superscript"/>
                <w:lang w:val="uk-UA"/>
              </w:rPr>
              <w:t>α</w:t>
            </w:r>
          </w:p>
        </w:tc>
        <w:tc>
          <w:tcPr>
            <w:tcW w:w="1956"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5,55±0,16º*</w:t>
            </w:r>
            <w:r w:rsidRPr="00321E29">
              <w:rPr>
                <w:rFonts w:ascii="Times New Roman" w:hAnsi="Times New Roman"/>
                <w:sz w:val="28"/>
                <w:szCs w:val="28"/>
                <w:vertAlign w:val="superscript"/>
                <w:lang w:val="uk-UA"/>
              </w:rPr>
              <w:t>&amp;#</w:t>
            </w:r>
            <w:r w:rsidRPr="00321E29">
              <w:rPr>
                <w:rFonts w:ascii="Times New Roman" w:hAnsi="Times New Roman"/>
                <w:sz w:val="32"/>
                <w:szCs w:val="32"/>
                <w:vertAlign w:val="superscript"/>
                <w:lang w:val="uk-UA"/>
              </w:rPr>
              <w:t>α</w:t>
            </w:r>
          </w:p>
        </w:tc>
      </w:tr>
      <w:tr w:rsidR="001F0A71" w:rsidRPr="00321E29" w:rsidTr="001F0A71">
        <w:trPr>
          <w:trHeight w:val="212"/>
        </w:trPr>
        <w:tc>
          <w:tcPr>
            <w:tcW w:w="3390" w:type="dxa"/>
            <w:vMerge/>
            <w:vAlign w:val="center"/>
          </w:tcPr>
          <w:p w:rsidR="001F0A71" w:rsidRPr="00321E29" w:rsidRDefault="001F0A71" w:rsidP="00086591">
            <w:pPr>
              <w:widowControl w:val="0"/>
              <w:spacing w:before="60" w:after="60" w:line="240" w:lineRule="auto"/>
              <w:rPr>
                <w:rFonts w:ascii="Times New Roman" w:hAnsi="Times New Roman"/>
                <w:sz w:val="28"/>
                <w:szCs w:val="28"/>
                <w:lang w:val="uk-UA"/>
              </w:rPr>
            </w:pPr>
          </w:p>
        </w:tc>
        <w:tc>
          <w:tcPr>
            <w:tcW w:w="1884"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21</w:t>
            </w:r>
          </w:p>
        </w:tc>
        <w:tc>
          <w:tcPr>
            <w:tcW w:w="2268"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13,4±0,46*</w:t>
            </w:r>
            <w:r w:rsidRPr="00321E29">
              <w:rPr>
                <w:rFonts w:ascii="Times New Roman" w:hAnsi="Times New Roman"/>
                <w:sz w:val="28"/>
                <w:szCs w:val="28"/>
                <w:vertAlign w:val="superscript"/>
                <w:lang w:val="uk-UA"/>
              </w:rPr>
              <w:t>&amp;#</w:t>
            </w:r>
            <w:r w:rsidRPr="00321E29">
              <w:rPr>
                <w:rFonts w:ascii="Times New Roman" w:hAnsi="Times New Roman"/>
                <w:sz w:val="32"/>
                <w:szCs w:val="32"/>
                <w:vertAlign w:val="superscript"/>
                <w:lang w:val="uk-UA"/>
              </w:rPr>
              <w:t>α</w:t>
            </w:r>
          </w:p>
        </w:tc>
        <w:tc>
          <w:tcPr>
            <w:tcW w:w="1956"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4,38±0,09*</w:t>
            </w:r>
            <w:r w:rsidRPr="00321E29">
              <w:rPr>
                <w:rFonts w:ascii="Times New Roman" w:hAnsi="Times New Roman"/>
                <w:sz w:val="28"/>
                <w:szCs w:val="28"/>
                <w:vertAlign w:val="superscript"/>
                <w:lang w:val="uk-UA"/>
              </w:rPr>
              <w:t>&amp;#</w:t>
            </w:r>
            <w:r w:rsidRPr="00321E29">
              <w:rPr>
                <w:rFonts w:ascii="Times New Roman" w:hAnsi="Times New Roman"/>
                <w:sz w:val="32"/>
                <w:szCs w:val="32"/>
                <w:vertAlign w:val="superscript"/>
                <w:lang w:val="uk-UA"/>
              </w:rPr>
              <w:t>α</w:t>
            </w:r>
          </w:p>
        </w:tc>
      </w:tr>
      <w:tr w:rsidR="001F0A71" w:rsidRPr="00321E29" w:rsidTr="001F0A71">
        <w:trPr>
          <w:trHeight w:val="131"/>
        </w:trPr>
        <w:tc>
          <w:tcPr>
            <w:tcW w:w="3390" w:type="dxa"/>
            <w:vMerge w:val="restart"/>
            <w:vAlign w:val="center"/>
          </w:tcPr>
          <w:p w:rsidR="001F0A71" w:rsidRPr="00321E29" w:rsidRDefault="001F0A71" w:rsidP="00086591">
            <w:pPr>
              <w:widowControl w:val="0"/>
              <w:spacing w:before="60" w:after="60" w:line="240" w:lineRule="auto"/>
              <w:rPr>
                <w:rFonts w:ascii="Times New Roman" w:hAnsi="Times New Roman"/>
                <w:sz w:val="28"/>
                <w:szCs w:val="28"/>
                <w:lang w:val="uk-UA"/>
              </w:rPr>
            </w:pPr>
            <w:r w:rsidRPr="00321E29">
              <w:rPr>
                <w:rFonts w:ascii="Times New Roman" w:hAnsi="Times New Roman"/>
                <w:sz w:val="28"/>
                <w:szCs w:val="28"/>
                <w:lang w:val="uk-UA"/>
              </w:rPr>
              <w:t>САК + амантадину сульфат, 10 мг⁄кг</w:t>
            </w:r>
          </w:p>
        </w:tc>
        <w:tc>
          <w:tcPr>
            <w:tcW w:w="1884"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4</w:t>
            </w:r>
          </w:p>
        </w:tc>
        <w:tc>
          <w:tcPr>
            <w:tcW w:w="2268"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24,5±0,44º*</w:t>
            </w:r>
          </w:p>
        </w:tc>
        <w:tc>
          <w:tcPr>
            <w:tcW w:w="1956"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6,49±0,23º*</w:t>
            </w:r>
          </w:p>
        </w:tc>
      </w:tr>
      <w:tr w:rsidR="001F0A71" w:rsidRPr="00321E29" w:rsidTr="001F0A71">
        <w:trPr>
          <w:trHeight w:val="270"/>
        </w:trPr>
        <w:tc>
          <w:tcPr>
            <w:tcW w:w="3390" w:type="dxa"/>
            <w:vMerge/>
            <w:vAlign w:val="center"/>
          </w:tcPr>
          <w:p w:rsidR="001F0A71" w:rsidRPr="00321E29" w:rsidRDefault="001F0A71" w:rsidP="00086591">
            <w:pPr>
              <w:widowControl w:val="0"/>
              <w:spacing w:before="60" w:after="60" w:line="240" w:lineRule="auto"/>
              <w:rPr>
                <w:rFonts w:ascii="Times New Roman" w:hAnsi="Times New Roman"/>
                <w:sz w:val="28"/>
                <w:szCs w:val="28"/>
                <w:lang w:val="uk-UA"/>
              </w:rPr>
            </w:pPr>
          </w:p>
        </w:tc>
        <w:tc>
          <w:tcPr>
            <w:tcW w:w="1884"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21</w:t>
            </w:r>
          </w:p>
        </w:tc>
        <w:tc>
          <w:tcPr>
            <w:tcW w:w="2268"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16,6±0,53º*</w:t>
            </w:r>
          </w:p>
        </w:tc>
        <w:tc>
          <w:tcPr>
            <w:tcW w:w="1956"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5,24±0,16*</w:t>
            </w:r>
          </w:p>
        </w:tc>
      </w:tr>
      <w:tr w:rsidR="001F0A71" w:rsidRPr="00321E29" w:rsidTr="001F0A71">
        <w:trPr>
          <w:trHeight w:val="169"/>
        </w:trPr>
        <w:tc>
          <w:tcPr>
            <w:tcW w:w="3390" w:type="dxa"/>
            <w:vMerge w:val="restart"/>
            <w:vAlign w:val="center"/>
          </w:tcPr>
          <w:p w:rsidR="001F0A71" w:rsidRPr="00321E29" w:rsidRDefault="001F0A71" w:rsidP="00086591">
            <w:pPr>
              <w:widowControl w:val="0"/>
              <w:spacing w:before="60" w:after="60" w:line="240" w:lineRule="auto"/>
              <w:rPr>
                <w:rFonts w:ascii="Times New Roman" w:hAnsi="Times New Roman"/>
                <w:b/>
                <w:sz w:val="28"/>
                <w:szCs w:val="28"/>
                <w:lang w:val="uk-UA"/>
              </w:rPr>
            </w:pPr>
            <w:r w:rsidRPr="00321E29">
              <w:rPr>
                <w:rFonts w:ascii="Times New Roman" w:hAnsi="Times New Roman"/>
                <w:sz w:val="28"/>
                <w:szCs w:val="28"/>
                <w:lang w:val="uk-UA"/>
              </w:rPr>
              <w:t xml:space="preserve">САК К + магнію сульфат, </w:t>
            </w:r>
            <w:r w:rsidRPr="00504B52">
              <w:rPr>
                <w:rFonts w:ascii="Times New Roman" w:hAnsi="Times New Roman"/>
                <w:sz w:val="28"/>
                <w:szCs w:val="28"/>
                <w:lang w:val="uk-UA"/>
              </w:rPr>
              <w:t>250 мг⁄кг</w:t>
            </w:r>
          </w:p>
        </w:tc>
        <w:tc>
          <w:tcPr>
            <w:tcW w:w="1884"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4</w:t>
            </w:r>
          </w:p>
        </w:tc>
        <w:tc>
          <w:tcPr>
            <w:tcW w:w="2268"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28,5±0,58º*</w:t>
            </w:r>
          </w:p>
        </w:tc>
        <w:tc>
          <w:tcPr>
            <w:tcW w:w="1956"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7,01±0,24º</w:t>
            </w:r>
          </w:p>
        </w:tc>
      </w:tr>
      <w:tr w:rsidR="001F0A71" w:rsidRPr="00321E29" w:rsidTr="001F0A71">
        <w:trPr>
          <w:trHeight w:val="118"/>
        </w:trPr>
        <w:tc>
          <w:tcPr>
            <w:tcW w:w="3390" w:type="dxa"/>
            <w:vMerge/>
            <w:vAlign w:val="center"/>
          </w:tcPr>
          <w:p w:rsidR="001F0A71" w:rsidRPr="00321E29" w:rsidRDefault="001F0A71" w:rsidP="00086591">
            <w:pPr>
              <w:widowControl w:val="0"/>
              <w:spacing w:before="60" w:after="60" w:line="240" w:lineRule="auto"/>
              <w:rPr>
                <w:rFonts w:ascii="Times New Roman" w:hAnsi="Times New Roman"/>
                <w:sz w:val="28"/>
                <w:szCs w:val="28"/>
                <w:lang w:val="uk-UA"/>
              </w:rPr>
            </w:pPr>
          </w:p>
        </w:tc>
        <w:tc>
          <w:tcPr>
            <w:tcW w:w="1884"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21</w:t>
            </w:r>
          </w:p>
        </w:tc>
        <w:tc>
          <w:tcPr>
            <w:tcW w:w="2268"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19,5±0,60º*</w:t>
            </w:r>
          </w:p>
        </w:tc>
        <w:tc>
          <w:tcPr>
            <w:tcW w:w="1956" w:type="dxa"/>
            <w:vAlign w:val="center"/>
          </w:tcPr>
          <w:p w:rsidR="001F0A71" w:rsidRPr="00321E29" w:rsidRDefault="001F0A71" w:rsidP="00086591">
            <w:pPr>
              <w:widowControl w:val="0"/>
              <w:spacing w:before="60" w:after="60" w:line="240" w:lineRule="auto"/>
              <w:jc w:val="center"/>
              <w:rPr>
                <w:rFonts w:ascii="Times New Roman" w:hAnsi="Times New Roman"/>
                <w:lang w:val="uk-UA"/>
              </w:rPr>
            </w:pPr>
            <w:r w:rsidRPr="00321E29">
              <w:rPr>
                <w:rFonts w:ascii="Times New Roman" w:hAnsi="Times New Roman"/>
                <w:sz w:val="28"/>
                <w:szCs w:val="28"/>
                <w:lang w:val="uk-UA"/>
              </w:rPr>
              <w:t>5,96±0,21º*</w:t>
            </w:r>
          </w:p>
        </w:tc>
      </w:tr>
    </w:tbl>
    <w:p w:rsidR="001F0A71" w:rsidRPr="005A60C3" w:rsidRDefault="001F0A71" w:rsidP="0069152C">
      <w:pPr>
        <w:widowControl w:val="0"/>
        <w:tabs>
          <w:tab w:val="left" w:pos="1080"/>
        </w:tabs>
        <w:spacing w:after="0" w:line="240" w:lineRule="auto"/>
        <w:ind w:firstLine="284"/>
        <w:jc w:val="both"/>
        <w:rPr>
          <w:rFonts w:ascii="Times New Roman" w:hAnsi="Times New Roman"/>
          <w:sz w:val="28"/>
          <w:szCs w:val="28"/>
          <w:lang w:val="uk-UA"/>
        </w:rPr>
      </w:pPr>
    </w:p>
    <w:p w:rsidR="001F0A71" w:rsidRPr="00F42677" w:rsidRDefault="001F0A71" w:rsidP="0069152C">
      <w:pPr>
        <w:widowControl w:val="0"/>
        <w:tabs>
          <w:tab w:val="left" w:pos="1080"/>
        </w:tabs>
        <w:spacing w:after="0" w:line="240" w:lineRule="auto"/>
        <w:ind w:firstLine="284"/>
        <w:jc w:val="both"/>
        <w:rPr>
          <w:rFonts w:ascii="Times New Roman" w:hAnsi="Times New Roman"/>
          <w:sz w:val="28"/>
          <w:szCs w:val="28"/>
          <w:lang w:val="uk-UA"/>
        </w:rPr>
      </w:pPr>
      <w:r w:rsidRPr="00F42677">
        <w:rPr>
          <w:rFonts w:ascii="Times New Roman" w:hAnsi="Times New Roman"/>
          <w:sz w:val="28"/>
          <w:szCs w:val="28"/>
          <w:lang w:val="uk-UA"/>
        </w:rPr>
        <w:t>Примітки:</w:t>
      </w:r>
    </w:p>
    <w:p w:rsidR="001F0A71" w:rsidRPr="00F42677" w:rsidRDefault="001F0A71" w:rsidP="00086591">
      <w:pPr>
        <w:widowControl w:val="0"/>
        <w:numPr>
          <w:ilvl w:val="0"/>
          <w:numId w:val="25"/>
        </w:numPr>
        <w:tabs>
          <w:tab w:val="left" w:pos="709"/>
          <w:tab w:val="left" w:pos="993"/>
        </w:tabs>
        <w:spacing w:after="0" w:line="360" w:lineRule="auto"/>
        <w:ind w:left="709" w:firstLine="0"/>
        <w:jc w:val="both"/>
        <w:rPr>
          <w:rFonts w:ascii="Times New Roman" w:hAnsi="Times New Roman"/>
          <w:sz w:val="28"/>
          <w:szCs w:val="28"/>
          <w:lang w:val="uk-UA"/>
        </w:rPr>
      </w:pPr>
      <w:r w:rsidRPr="00F42677">
        <w:rPr>
          <w:rFonts w:ascii="Times New Roman" w:hAnsi="Times New Roman"/>
          <w:sz w:val="28"/>
          <w:szCs w:val="28"/>
          <w:lang w:val="uk-UA"/>
        </w:rPr>
        <w:t>º – р&lt;0,05 відносно псевдооперованих тварин;</w:t>
      </w:r>
    </w:p>
    <w:p w:rsidR="001F0A71" w:rsidRPr="00F42677" w:rsidRDefault="001F0A71" w:rsidP="00086591">
      <w:pPr>
        <w:widowControl w:val="0"/>
        <w:tabs>
          <w:tab w:val="left" w:pos="1276"/>
        </w:tabs>
        <w:spacing w:after="0" w:line="360" w:lineRule="auto"/>
        <w:ind w:left="709"/>
        <w:jc w:val="both"/>
        <w:rPr>
          <w:rFonts w:ascii="Times New Roman" w:hAnsi="Times New Roman"/>
          <w:sz w:val="28"/>
          <w:szCs w:val="28"/>
          <w:lang w:val="uk-UA"/>
        </w:rPr>
      </w:pPr>
      <w:r w:rsidRPr="00F42677">
        <w:rPr>
          <w:rFonts w:ascii="Times New Roman" w:hAnsi="Times New Roman"/>
          <w:sz w:val="28"/>
          <w:szCs w:val="28"/>
          <w:lang w:val="uk-UA"/>
        </w:rPr>
        <w:t>3.* – р&lt;0,05 відносно контрольної патології;</w:t>
      </w:r>
    </w:p>
    <w:p w:rsidR="001F0A71" w:rsidRPr="00F42677" w:rsidRDefault="001F0A71" w:rsidP="00086591">
      <w:pPr>
        <w:widowControl w:val="0"/>
        <w:tabs>
          <w:tab w:val="left" w:pos="1276"/>
        </w:tabs>
        <w:spacing w:after="0" w:line="360" w:lineRule="auto"/>
        <w:ind w:left="709"/>
        <w:jc w:val="both"/>
        <w:rPr>
          <w:rFonts w:ascii="Times New Roman" w:hAnsi="Times New Roman"/>
          <w:sz w:val="28"/>
          <w:szCs w:val="28"/>
          <w:lang w:val="uk-UA"/>
        </w:rPr>
      </w:pPr>
      <w:r w:rsidRPr="00F42677">
        <w:rPr>
          <w:rFonts w:ascii="Times New Roman" w:hAnsi="Times New Roman"/>
          <w:sz w:val="28"/>
          <w:szCs w:val="28"/>
          <w:lang w:val="uk-UA"/>
        </w:rPr>
        <w:t xml:space="preserve">4. </w:t>
      </w:r>
      <w:r w:rsidRPr="00F42677">
        <w:rPr>
          <w:rFonts w:ascii="Times New Roman" w:hAnsi="Times New Roman"/>
          <w:sz w:val="28"/>
          <w:szCs w:val="28"/>
          <w:vertAlign w:val="superscript"/>
          <w:lang w:val="uk-UA"/>
        </w:rPr>
        <w:t xml:space="preserve"># </w:t>
      </w:r>
      <w:r w:rsidRPr="00F42677">
        <w:rPr>
          <w:rFonts w:ascii="Times New Roman" w:hAnsi="Times New Roman"/>
          <w:sz w:val="28"/>
          <w:szCs w:val="28"/>
          <w:lang w:val="uk-UA"/>
        </w:rPr>
        <w:t>– р&lt;0,05 у відповідні строки між адемолом та магнезією;</w:t>
      </w:r>
    </w:p>
    <w:p w:rsidR="001F0A71" w:rsidRPr="00F42677" w:rsidRDefault="001F0A71" w:rsidP="00086591">
      <w:pPr>
        <w:widowControl w:val="0"/>
        <w:tabs>
          <w:tab w:val="left" w:pos="1276"/>
        </w:tabs>
        <w:spacing w:after="0" w:line="360" w:lineRule="auto"/>
        <w:ind w:left="709"/>
        <w:jc w:val="both"/>
        <w:rPr>
          <w:rFonts w:ascii="Times New Roman" w:hAnsi="Times New Roman"/>
          <w:sz w:val="28"/>
          <w:szCs w:val="28"/>
          <w:lang w:val="uk-UA"/>
        </w:rPr>
      </w:pPr>
      <w:r w:rsidRPr="00F42677">
        <w:rPr>
          <w:rFonts w:ascii="Times New Roman" w:hAnsi="Times New Roman"/>
          <w:sz w:val="28"/>
          <w:szCs w:val="28"/>
          <w:lang w:val="uk-UA"/>
        </w:rPr>
        <w:t xml:space="preserve">5. </w:t>
      </w:r>
      <w:r w:rsidRPr="00F42677">
        <w:rPr>
          <w:rFonts w:ascii="Times New Roman" w:hAnsi="Times New Roman"/>
          <w:sz w:val="28"/>
          <w:szCs w:val="28"/>
          <w:vertAlign w:val="superscript"/>
          <w:lang w:val="uk-UA"/>
        </w:rPr>
        <w:t>&amp;</w:t>
      </w:r>
      <w:r w:rsidRPr="00F42677">
        <w:rPr>
          <w:rFonts w:ascii="Times New Roman" w:hAnsi="Times New Roman"/>
          <w:sz w:val="28"/>
          <w:szCs w:val="28"/>
          <w:lang w:val="uk-UA"/>
        </w:rPr>
        <w:t>– р&lt;0,05 у відповідні строки між адемолом та амантадином;</w:t>
      </w:r>
    </w:p>
    <w:p w:rsidR="001F0A71" w:rsidRPr="00F42677" w:rsidRDefault="001F0A71" w:rsidP="00086591">
      <w:pPr>
        <w:widowControl w:val="0"/>
        <w:tabs>
          <w:tab w:val="left" w:pos="1276"/>
        </w:tabs>
        <w:spacing w:after="0" w:line="360" w:lineRule="auto"/>
        <w:ind w:left="709"/>
        <w:jc w:val="both"/>
        <w:rPr>
          <w:rFonts w:ascii="Times New Roman" w:hAnsi="Times New Roman"/>
          <w:sz w:val="28"/>
          <w:szCs w:val="28"/>
          <w:lang w:val="uk-UA"/>
        </w:rPr>
      </w:pPr>
      <w:r w:rsidRPr="00F42677">
        <w:rPr>
          <w:rFonts w:ascii="Times New Roman" w:hAnsi="Times New Roman"/>
          <w:sz w:val="28"/>
          <w:szCs w:val="28"/>
          <w:lang w:val="uk-UA"/>
        </w:rPr>
        <w:t xml:space="preserve">6. </w:t>
      </w:r>
      <w:r w:rsidRPr="00F42677">
        <w:rPr>
          <w:rFonts w:ascii="Times New Roman" w:hAnsi="Times New Roman"/>
          <w:sz w:val="32"/>
          <w:szCs w:val="32"/>
          <w:vertAlign w:val="superscript"/>
          <w:lang w:val="uk-UA"/>
        </w:rPr>
        <w:t>α</w:t>
      </w:r>
      <w:r w:rsidRPr="00F42677">
        <w:rPr>
          <w:rFonts w:ascii="Times New Roman" w:hAnsi="Times New Roman"/>
          <w:sz w:val="28"/>
          <w:szCs w:val="28"/>
          <w:lang w:val="uk-UA"/>
        </w:rPr>
        <w:t>– р&lt;0,05 у відповідні строки між адемолом та німодипіном</w:t>
      </w:r>
      <w:r>
        <w:rPr>
          <w:rFonts w:ascii="Times New Roman" w:hAnsi="Times New Roman"/>
          <w:sz w:val="28"/>
          <w:szCs w:val="28"/>
          <w:lang w:val="uk-UA"/>
        </w:rPr>
        <w:t>.</w:t>
      </w:r>
    </w:p>
    <w:p w:rsidR="001F0A71" w:rsidRPr="00406EAF" w:rsidRDefault="001F0A71" w:rsidP="0069152C">
      <w:pPr>
        <w:widowControl w:val="0"/>
        <w:spacing w:after="0" w:line="360" w:lineRule="auto"/>
        <w:ind w:firstLine="284"/>
        <w:jc w:val="both"/>
        <w:rPr>
          <w:rFonts w:ascii="Times New Roman" w:hAnsi="Times New Roman"/>
          <w:sz w:val="16"/>
          <w:szCs w:val="16"/>
          <w:lang w:val="uk-UA"/>
        </w:rPr>
      </w:pPr>
    </w:p>
    <w:p w:rsidR="005A60C3" w:rsidRPr="00F42677" w:rsidRDefault="005A60C3" w:rsidP="005A60C3">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 xml:space="preserve">Застосування досліджуваних препаратів упродовж 4-х діб достовірно відносно </w:t>
      </w:r>
      <w:r w:rsidRPr="00F42677">
        <w:rPr>
          <w:rFonts w:ascii="Times New Roman" w:hAnsi="Times New Roman"/>
          <w:sz w:val="28"/>
          <w:szCs w:val="28"/>
          <w:lang w:val="uk-UA"/>
        </w:rPr>
        <w:lastRenderedPageBreak/>
        <w:t>групи контрольної патології, зменшувало вміст досліджуваних маркерів оксидативного стресу (окрім магнію сульфату), причому максимальний ефект відмічався на тлі введення адемолу.</w:t>
      </w:r>
    </w:p>
    <w:p w:rsidR="001F0A71" w:rsidRPr="00F42677" w:rsidRDefault="001F0A7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В той же час, за умов тривалого (21-на доба САК) введення німодипіну, адемолу, амантадину та магнію сульфату відмічалось більш виразне пригнічення процесів пероксидації ліпідів та білків: зниження вмісту МДА становило відповідно 43,8, 49,6, 37,6 та 26,7 %, а рівня КГП – 30,0, 35,4, 22,8 та 12,1 %, порівняно з контрольною патологією. Тобто, найбільший депримуючий вплив на активність процесів ліпоперо</w:t>
      </w:r>
      <w:r w:rsidR="007836C8">
        <w:rPr>
          <w:rFonts w:ascii="Times New Roman" w:hAnsi="Times New Roman"/>
          <w:sz w:val="28"/>
          <w:szCs w:val="28"/>
          <w:lang w:val="uk-UA"/>
        </w:rPr>
        <w:t>-</w:t>
      </w:r>
      <w:r w:rsidRPr="00F42677">
        <w:rPr>
          <w:rFonts w:ascii="Times New Roman" w:hAnsi="Times New Roman"/>
          <w:sz w:val="28"/>
          <w:szCs w:val="28"/>
          <w:lang w:val="uk-UA"/>
        </w:rPr>
        <w:t>ксидації та окисної модифікації протеїнів мав адемол, достовірно менший – німоди</w:t>
      </w:r>
      <w:r w:rsidR="007836C8">
        <w:rPr>
          <w:rFonts w:ascii="Times New Roman" w:hAnsi="Times New Roman"/>
          <w:sz w:val="28"/>
          <w:szCs w:val="28"/>
          <w:lang w:val="uk-UA"/>
        </w:rPr>
        <w:t>-</w:t>
      </w:r>
      <w:r w:rsidRPr="00F42677">
        <w:rPr>
          <w:rFonts w:ascii="Times New Roman" w:hAnsi="Times New Roman"/>
          <w:sz w:val="28"/>
          <w:szCs w:val="28"/>
          <w:lang w:val="uk-UA"/>
        </w:rPr>
        <w:t xml:space="preserve">пін, їм поступався амантадину сульфат, а найменший реєструвався у </w:t>
      </w:r>
      <w:r w:rsidR="0040775D">
        <w:rPr>
          <w:rFonts w:ascii="Times New Roman" w:hAnsi="Times New Roman"/>
          <w:sz w:val="28"/>
          <w:szCs w:val="28"/>
          <w:lang w:val="uk-UA"/>
        </w:rPr>
        <w:t>магнія сульфату.</w:t>
      </w:r>
    </w:p>
    <w:p w:rsidR="001F0A71" w:rsidRDefault="001F0A7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 xml:space="preserve">Однією із причин активації вільнорадикального окиснення ліпідів та білків є дисбаланс в про- та антиоксидантних системах (табл. 6.4). </w:t>
      </w:r>
    </w:p>
    <w:p w:rsidR="00DB1BB1" w:rsidRPr="00F42677" w:rsidRDefault="00DB1BB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 xml:space="preserve">Тому, ми оцінили вплив геморагічного ураження головного мозку на активність антиоксидантних ензимів – СОД, ГПО та каталази в тканинах головного мозку, а також їх зміни на тлі терапії. За умов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42677">
        <w:rPr>
          <w:rFonts w:ascii="Times New Roman" w:hAnsi="Times New Roman"/>
          <w:sz w:val="28"/>
          <w:szCs w:val="28"/>
          <w:lang w:val="uk-UA"/>
        </w:rPr>
        <w:t xml:space="preserve"> у тварин групи контрольної патології відмічалось достовірне падіння активності СОД (в середньому на 59,6 і 43,0 % відповідно на 4-ту та 21-шу добу експерименту), порівняно з псевдооперованими тваринами, що супроводжувалось накопиченням цитотоксичного супероксидного аніон-радикалу. </w:t>
      </w:r>
    </w:p>
    <w:p w:rsidR="00DB1BB1" w:rsidRPr="00F42677" w:rsidRDefault="00DB1BB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Поряд із цим зареєстровано зменшення здатності тканин головного мозку знешкоджувати гідроген пероксид в ензиматичних реакціях, каталізованих ГПО (її активність знизилась в середньому на 57,4 і 41,2 % відповідно на 4-ту та 21-шу добу експерименту) та каталазою (активність цього ензиму у гострий період САК виявилась нижчою за аналогічні значення у тварин групи контрольної патології в середньому на 60,6 і 44,2 % відповідно.Терапія досліджуваними препаратами зменшувало депримуючий вплив геморагічного ураження головного мозку на активність антиоксидантних ензимів (табл. 6.4).</w:t>
      </w:r>
    </w:p>
    <w:p w:rsidR="00DB1BB1" w:rsidRDefault="007836C8"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 xml:space="preserve">Зокрема, на 4-ту добу після їх окремого введення тваринам із ВМК, достовірне зменшення активності СОД та ГПО реєструвалось лише в групі тварин, які </w:t>
      </w:r>
      <w:r w:rsidRPr="00F42677">
        <w:rPr>
          <w:rFonts w:ascii="Times New Roman" w:hAnsi="Times New Roman"/>
          <w:sz w:val="28"/>
          <w:szCs w:val="28"/>
          <w:lang w:val="uk-UA"/>
        </w:rPr>
        <w:lastRenderedPageBreak/>
        <w:t xml:space="preserve">отримували німодипін та адемол, тоді як вірогідне зниження активності каталази виявлялось у всіх групах лікованих тварин, за винятком тих, які отримували розчин магнію сульфату. </w:t>
      </w:r>
    </w:p>
    <w:p w:rsidR="005A60C3" w:rsidRDefault="005A60C3" w:rsidP="001F0A71">
      <w:pPr>
        <w:pStyle w:val="-1"/>
        <w:widowControl w:val="0"/>
        <w:spacing w:line="360" w:lineRule="auto"/>
        <w:ind w:firstLine="284"/>
        <w:jc w:val="right"/>
        <w:rPr>
          <w:sz w:val="28"/>
          <w:szCs w:val="28"/>
          <w:lang w:val="uk-UA"/>
        </w:rPr>
      </w:pPr>
    </w:p>
    <w:p w:rsidR="001F0A71" w:rsidRPr="00F42677" w:rsidRDefault="001F0A71" w:rsidP="001F0A71">
      <w:pPr>
        <w:pStyle w:val="-1"/>
        <w:widowControl w:val="0"/>
        <w:spacing w:line="360" w:lineRule="auto"/>
        <w:ind w:firstLine="284"/>
        <w:jc w:val="right"/>
        <w:rPr>
          <w:lang w:val="uk-UA"/>
        </w:rPr>
      </w:pPr>
      <w:r w:rsidRPr="00F42677">
        <w:rPr>
          <w:sz w:val="28"/>
          <w:szCs w:val="28"/>
          <w:lang w:val="uk-UA"/>
        </w:rPr>
        <w:t>Таблиця 6.4</w:t>
      </w:r>
    </w:p>
    <w:p w:rsidR="001F0A71" w:rsidRDefault="001F0A71" w:rsidP="007836C8">
      <w:pPr>
        <w:widowControl w:val="0"/>
        <w:spacing w:after="0" w:line="360" w:lineRule="auto"/>
        <w:ind w:firstLine="284"/>
        <w:jc w:val="center"/>
        <w:rPr>
          <w:rFonts w:ascii="Times New Roman" w:hAnsi="Times New Roman"/>
          <w:sz w:val="28"/>
          <w:szCs w:val="28"/>
          <w:lang w:val="uk-UA"/>
        </w:rPr>
      </w:pPr>
      <w:r w:rsidRPr="00F42677">
        <w:rPr>
          <w:rFonts w:ascii="Times New Roman" w:hAnsi="Times New Roman"/>
          <w:sz w:val="28"/>
          <w:szCs w:val="28"/>
          <w:lang w:val="uk-UA"/>
        </w:rPr>
        <w:t xml:space="preserve">Активність антиоксидантних ензимів в мозку щурів в динаміці </w:t>
      </w:r>
      <w:r>
        <w:rPr>
          <w:rFonts w:ascii="Times New Roman" w:hAnsi="Times New Roman"/>
          <w:sz w:val="28"/>
          <w:szCs w:val="28"/>
          <w:lang w:val="uk-UA"/>
        </w:rPr>
        <w:t>внутрішньочерепного крововиливу</w:t>
      </w:r>
      <w:r w:rsidRPr="00F42677">
        <w:rPr>
          <w:rFonts w:ascii="Times New Roman" w:hAnsi="Times New Roman"/>
          <w:sz w:val="28"/>
          <w:szCs w:val="28"/>
          <w:lang w:val="uk-UA"/>
        </w:rPr>
        <w:t xml:space="preserve"> на лі терапії адемолом та препаратами порівняння</w:t>
      </w:r>
      <w:r>
        <w:rPr>
          <w:rFonts w:ascii="Times New Roman" w:hAnsi="Times New Roman"/>
          <w:sz w:val="28"/>
          <w:szCs w:val="28"/>
          <w:lang w:val="uk-UA"/>
        </w:rPr>
        <w:t>,</w:t>
      </w:r>
      <w:r w:rsidRPr="00F42677">
        <w:rPr>
          <w:rFonts w:ascii="Times New Roman" w:hAnsi="Times New Roman"/>
          <w:sz w:val="28"/>
          <w:szCs w:val="28"/>
          <w:lang w:val="uk-UA"/>
        </w:rPr>
        <w:t>М±m</w:t>
      </w:r>
      <w:r>
        <w:rPr>
          <w:rFonts w:ascii="Times New Roman" w:hAnsi="Times New Roman"/>
          <w:sz w:val="28"/>
          <w:szCs w:val="28"/>
          <w:lang w:val="uk-UA"/>
        </w:rPr>
        <w:t>(</w:t>
      </w:r>
      <w:r w:rsidRPr="00090011">
        <w:rPr>
          <w:rFonts w:ascii="Times New Roman" w:hAnsi="Times New Roman"/>
          <w:sz w:val="28"/>
          <w:szCs w:val="28"/>
          <w:lang w:val="uk-UA"/>
        </w:rPr>
        <w:t>n=15)</w:t>
      </w:r>
    </w:p>
    <w:p w:rsidR="0036311A" w:rsidRPr="00090011" w:rsidRDefault="0036311A" w:rsidP="007836C8">
      <w:pPr>
        <w:widowControl w:val="0"/>
        <w:spacing w:after="0" w:line="360" w:lineRule="auto"/>
        <w:ind w:firstLine="284"/>
        <w:jc w:val="center"/>
        <w:rPr>
          <w:rFonts w:ascii="Times New Roman" w:hAnsi="Times New Roman"/>
          <w:sz w:val="28"/>
          <w:szCs w:val="28"/>
          <w:lang w:val="uk-UA"/>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2"/>
        <w:gridCol w:w="1843"/>
        <w:gridCol w:w="1843"/>
        <w:gridCol w:w="1843"/>
        <w:gridCol w:w="1842"/>
      </w:tblGrid>
      <w:tr w:rsidR="001F0A71" w:rsidRPr="00321E29" w:rsidTr="001F0A71">
        <w:trPr>
          <w:trHeight w:val="270"/>
        </w:trPr>
        <w:tc>
          <w:tcPr>
            <w:tcW w:w="2722" w:type="dxa"/>
            <w:vMerge w:val="restart"/>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Групи тварин</w:t>
            </w:r>
          </w:p>
        </w:tc>
        <w:tc>
          <w:tcPr>
            <w:tcW w:w="1843" w:type="dxa"/>
            <w:vMerge w:val="restart"/>
            <w:vAlign w:val="center"/>
          </w:tcPr>
          <w:p w:rsidR="001F0A71" w:rsidRPr="00321E29" w:rsidRDefault="001F0A71" w:rsidP="005A60C3">
            <w:pPr>
              <w:widowControl w:val="0"/>
              <w:spacing w:before="60" w:after="60" w:line="240" w:lineRule="auto"/>
              <w:ind w:right="113" w:hanging="68"/>
              <w:jc w:val="center"/>
              <w:rPr>
                <w:rFonts w:ascii="Times New Roman" w:hAnsi="Times New Roman"/>
                <w:sz w:val="28"/>
                <w:szCs w:val="28"/>
                <w:lang w:val="uk-UA"/>
              </w:rPr>
            </w:pPr>
            <w:r w:rsidRPr="00321E29">
              <w:rPr>
                <w:rFonts w:ascii="Times New Roman" w:hAnsi="Times New Roman"/>
                <w:sz w:val="28"/>
                <w:szCs w:val="28"/>
                <w:lang w:val="uk-UA"/>
              </w:rPr>
              <w:t>Термін</w:t>
            </w:r>
          </w:p>
          <w:p w:rsidR="001F0A71" w:rsidRPr="00321E29" w:rsidRDefault="001F0A71" w:rsidP="005A60C3">
            <w:pPr>
              <w:widowControl w:val="0"/>
              <w:spacing w:before="60" w:after="60" w:line="240" w:lineRule="auto"/>
              <w:ind w:right="-108" w:hanging="68"/>
              <w:jc w:val="center"/>
              <w:rPr>
                <w:rFonts w:ascii="Times New Roman" w:hAnsi="Times New Roman"/>
                <w:sz w:val="28"/>
                <w:szCs w:val="28"/>
                <w:lang w:val="uk-UA"/>
              </w:rPr>
            </w:pPr>
            <w:r w:rsidRPr="00321E29">
              <w:rPr>
                <w:rFonts w:ascii="Times New Roman" w:hAnsi="Times New Roman"/>
                <w:sz w:val="28"/>
                <w:szCs w:val="28"/>
                <w:lang w:val="uk-UA"/>
              </w:rPr>
              <w:t>експерименту (доба)</w:t>
            </w:r>
          </w:p>
        </w:tc>
        <w:tc>
          <w:tcPr>
            <w:tcW w:w="5528" w:type="dxa"/>
            <w:gridSpan w:val="3"/>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Показники</w:t>
            </w:r>
          </w:p>
        </w:tc>
      </w:tr>
      <w:tr w:rsidR="001F0A71" w:rsidRPr="00321E29" w:rsidTr="001F0A71">
        <w:trPr>
          <w:trHeight w:val="270"/>
        </w:trPr>
        <w:tc>
          <w:tcPr>
            <w:tcW w:w="2722" w:type="dxa"/>
            <w:vMerge/>
            <w:vAlign w:val="center"/>
          </w:tcPr>
          <w:p w:rsidR="001F0A71" w:rsidRPr="00321E29" w:rsidRDefault="001F0A71" w:rsidP="005A60C3">
            <w:pPr>
              <w:widowControl w:val="0"/>
              <w:spacing w:before="60" w:after="60" w:line="240" w:lineRule="auto"/>
              <w:ind w:hanging="68"/>
              <w:rPr>
                <w:rFonts w:ascii="Times New Roman" w:hAnsi="Times New Roman"/>
                <w:sz w:val="28"/>
                <w:szCs w:val="28"/>
                <w:lang w:val="uk-UA"/>
              </w:rPr>
            </w:pPr>
          </w:p>
        </w:tc>
        <w:tc>
          <w:tcPr>
            <w:tcW w:w="1843" w:type="dxa"/>
            <w:vMerge/>
            <w:vAlign w:val="center"/>
          </w:tcPr>
          <w:p w:rsidR="001F0A71" w:rsidRPr="00321E29" w:rsidRDefault="001F0A71" w:rsidP="005A60C3">
            <w:pPr>
              <w:widowControl w:val="0"/>
              <w:spacing w:before="60" w:after="60" w:line="240" w:lineRule="auto"/>
              <w:ind w:hanging="68"/>
              <w:rPr>
                <w:rFonts w:ascii="Times New Roman" w:hAnsi="Times New Roman"/>
                <w:sz w:val="28"/>
                <w:szCs w:val="28"/>
                <w:lang w:val="uk-UA"/>
              </w:rPr>
            </w:pP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ГПО,</w:t>
            </w:r>
          </w:p>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мкмоль / хв на 1 мг протеїну</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СОД,</w:t>
            </w:r>
          </w:p>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bCs/>
                <w:sz w:val="28"/>
                <w:szCs w:val="28"/>
                <w:lang w:val="uk-UA"/>
              </w:rPr>
              <w:t>ум.од / мг протеїну</w:t>
            </w:r>
          </w:p>
        </w:tc>
        <w:tc>
          <w:tcPr>
            <w:tcW w:w="1842"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Каталаза,</w:t>
            </w:r>
          </w:p>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мккатал / мг протеїну</w:t>
            </w:r>
          </w:p>
        </w:tc>
      </w:tr>
      <w:tr w:rsidR="001F0A71" w:rsidRPr="00321E29" w:rsidTr="001F0A71">
        <w:trPr>
          <w:trHeight w:val="479"/>
        </w:trPr>
        <w:tc>
          <w:tcPr>
            <w:tcW w:w="2722" w:type="dxa"/>
            <w:vMerge w:val="restart"/>
            <w:vAlign w:val="center"/>
          </w:tcPr>
          <w:p w:rsidR="001F0A71" w:rsidRPr="00321E29" w:rsidRDefault="001F0A71" w:rsidP="005A60C3">
            <w:pPr>
              <w:widowControl w:val="0"/>
              <w:spacing w:before="60" w:after="60" w:line="240" w:lineRule="auto"/>
              <w:ind w:hanging="68"/>
              <w:rPr>
                <w:rFonts w:ascii="Times New Roman" w:hAnsi="Times New Roman"/>
                <w:b/>
                <w:sz w:val="28"/>
                <w:szCs w:val="28"/>
                <w:lang w:val="uk-UA"/>
              </w:rPr>
            </w:pPr>
            <w:r w:rsidRPr="00321E29">
              <w:rPr>
                <w:rFonts w:ascii="Times New Roman" w:hAnsi="Times New Roman"/>
                <w:sz w:val="28"/>
                <w:szCs w:val="28"/>
                <w:lang w:val="uk-UA"/>
              </w:rPr>
              <w:t>Псевдооперовані тварини + 0,9% NаСІ, 2 мл/кг</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4</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67,2±2,37</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2,35±0,12</w:t>
            </w:r>
          </w:p>
        </w:tc>
        <w:tc>
          <w:tcPr>
            <w:tcW w:w="1842"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6,15±0,17</w:t>
            </w:r>
          </w:p>
        </w:tc>
      </w:tr>
      <w:tr w:rsidR="001F0A71" w:rsidRPr="00321E29" w:rsidTr="001F0A71">
        <w:trPr>
          <w:trHeight w:val="270"/>
        </w:trPr>
        <w:tc>
          <w:tcPr>
            <w:tcW w:w="2722" w:type="dxa"/>
            <w:vMerge/>
            <w:vAlign w:val="center"/>
          </w:tcPr>
          <w:p w:rsidR="001F0A71" w:rsidRPr="00321E29" w:rsidRDefault="001F0A71" w:rsidP="005A60C3">
            <w:pPr>
              <w:widowControl w:val="0"/>
              <w:spacing w:before="60" w:after="60" w:line="240" w:lineRule="auto"/>
              <w:ind w:hanging="68"/>
              <w:rPr>
                <w:rFonts w:ascii="Times New Roman" w:hAnsi="Times New Roman"/>
                <w:sz w:val="28"/>
                <w:szCs w:val="28"/>
                <w:lang w:val="uk-UA"/>
              </w:rPr>
            </w:pP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21</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68,4±2,68</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2,42±0,11</w:t>
            </w:r>
          </w:p>
        </w:tc>
        <w:tc>
          <w:tcPr>
            <w:tcW w:w="1842"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6,27±0,19</w:t>
            </w:r>
          </w:p>
        </w:tc>
      </w:tr>
      <w:tr w:rsidR="001F0A71" w:rsidRPr="00321E29" w:rsidTr="001F0A71">
        <w:trPr>
          <w:trHeight w:val="270"/>
        </w:trPr>
        <w:tc>
          <w:tcPr>
            <w:tcW w:w="2722" w:type="dxa"/>
            <w:vMerge w:val="restart"/>
            <w:vAlign w:val="center"/>
          </w:tcPr>
          <w:p w:rsidR="001F0A71" w:rsidRDefault="001F0A71" w:rsidP="005A60C3">
            <w:pPr>
              <w:widowControl w:val="0"/>
              <w:spacing w:before="60" w:after="60" w:line="240" w:lineRule="auto"/>
              <w:ind w:hanging="68"/>
              <w:rPr>
                <w:rFonts w:ascii="Times New Roman" w:hAnsi="Times New Roman"/>
                <w:sz w:val="28"/>
                <w:szCs w:val="28"/>
                <w:lang w:val="uk-UA"/>
              </w:rPr>
            </w:pPr>
            <w:r w:rsidRPr="00321E29">
              <w:rPr>
                <w:rFonts w:ascii="Times New Roman" w:hAnsi="Times New Roman"/>
                <w:sz w:val="28"/>
                <w:szCs w:val="28"/>
                <w:lang w:val="uk-UA"/>
              </w:rPr>
              <w:t xml:space="preserve">САК + 0,9% NаСІ, </w:t>
            </w:r>
          </w:p>
          <w:p w:rsidR="001F0A71" w:rsidRPr="00321E29" w:rsidRDefault="001F0A71" w:rsidP="005A60C3">
            <w:pPr>
              <w:widowControl w:val="0"/>
              <w:spacing w:before="60" w:after="60" w:line="240" w:lineRule="auto"/>
              <w:ind w:hanging="68"/>
              <w:rPr>
                <w:rFonts w:ascii="Times New Roman" w:hAnsi="Times New Roman"/>
                <w:sz w:val="28"/>
                <w:szCs w:val="28"/>
                <w:lang w:val="uk-UA"/>
              </w:rPr>
            </w:pPr>
            <w:r w:rsidRPr="00321E29">
              <w:rPr>
                <w:rFonts w:ascii="Times New Roman" w:hAnsi="Times New Roman"/>
                <w:sz w:val="28"/>
                <w:szCs w:val="28"/>
                <w:lang w:val="uk-UA"/>
              </w:rPr>
              <w:t>2 мл/кг</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4</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28,6±2,04º</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0,95±0,08º</w:t>
            </w:r>
          </w:p>
        </w:tc>
        <w:tc>
          <w:tcPr>
            <w:tcW w:w="1842"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2,42±0,15º</w:t>
            </w:r>
          </w:p>
        </w:tc>
      </w:tr>
      <w:tr w:rsidR="001F0A71" w:rsidRPr="00321E29" w:rsidTr="001F0A71">
        <w:trPr>
          <w:trHeight w:val="270"/>
        </w:trPr>
        <w:tc>
          <w:tcPr>
            <w:tcW w:w="2722" w:type="dxa"/>
            <w:vMerge/>
            <w:vAlign w:val="center"/>
          </w:tcPr>
          <w:p w:rsidR="001F0A71" w:rsidRPr="00321E29" w:rsidRDefault="001F0A71" w:rsidP="005A60C3">
            <w:pPr>
              <w:widowControl w:val="0"/>
              <w:spacing w:before="60" w:after="60" w:line="240" w:lineRule="auto"/>
              <w:ind w:hanging="68"/>
              <w:rPr>
                <w:rFonts w:ascii="Times New Roman" w:hAnsi="Times New Roman"/>
                <w:sz w:val="28"/>
                <w:szCs w:val="28"/>
                <w:lang w:val="uk-UA"/>
              </w:rPr>
            </w:pP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21</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40,2±2,25º</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1,38±0,13º</w:t>
            </w:r>
          </w:p>
        </w:tc>
        <w:tc>
          <w:tcPr>
            <w:tcW w:w="1842"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3,50±0,18º</w:t>
            </w:r>
          </w:p>
        </w:tc>
      </w:tr>
      <w:tr w:rsidR="001F0A71" w:rsidRPr="00321E29" w:rsidTr="001F0A71">
        <w:trPr>
          <w:trHeight w:val="270"/>
        </w:trPr>
        <w:tc>
          <w:tcPr>
            <w:tcW w:w="2722" w:type="dxa"/>
            <w:vMerge w:val="restart"/>
            <w:vAlign w:val="center"/>
          </w:tcPr>
          <w:p w:rsidR="001F0A71" w:rsidRPr="00321E29" w:rsidRDefault="001F0A71" w:rsidP="005A60C3">
            <w:pPr>
              <w:widowControl w:val="0"/>
              <w:spacing w:before="60" w:after="60" w:line="240" w:lineRule="auto"/>
              <w:ind w:hanging="68"/>
              <w:rPr>
                <w:rFonts w:ascii="Times New Roman" w:hAnsi="Times New Roman"/>
                <w:sz w:val="28"/>
                <w:szCs w:val="28"/>
                <w:lang w:val="uk-UA"/>
              </w:rPr>
            </w:pPr>
            <w:r w:rsidRPr="00321E29">
              <w:rPr>
                <w:rFonts w:ascii="Times New Roman" w:hAnsi="Times New Roman"/>
                <w:sz w:val="28"/>
                <w:szCs w:val="28"/>
                <w:lang w:val="uk-UA"/>
              </w:rPr>
              <w:t>САК</w:t>
            </w:r>
            <w:r w:rsidRPr="00321E29">
              <w:rPr>
                <w:rFonts w:ascii="Times New Roman" w:hAnsi="Times New Roman"/>
                <w:b/>
                <w:sz w:val="28"/>
                <w:szCs w:val="28"/>
                <w:lang w:val="uk-UA"/>
              </w:rPr>
              <w:t xml:space="preserve"> + </w:t>
            </w:r>
            <w:r w:rsidRPr="00321E29">
              <w:rPr>
                <w:rFonts w:ascii="Times New Roman" w:hAnsi="Times New Roman"/>
                <w:sz w:val="28"/>
                <w:szCs w:val="28"/>
                <w:lang w:val="uk-UA"/>
              </w:rPr>
              <w:t xml:space="preserve">адемол, </w:t>
            </w:r>
          </w:p>
          <w:p w:rsidR="001F0A71" w:rsidRPr="00321E29" w:rsidRDefault="001F0A71" w:rsidP="005A60C3">
            <w:pPr>
              <w:widowControl w:val="0"/>
              <w:spacing w:before="60" w:after="60" w:line="240" w:lineRule="auto"/>
              <w:ind w:hanging="68"/>
              <w:rPr>
                <w:rFonts w:ascii="Times New Roman" w:hAnsi="Times New Roman"/>
                <w:b/>
                <w:sz w:val="28"/>
                <w:szCs w:val="28"/>
                <w:lang w:val="uk-UA"/>
              </w:rPr>
            </w:pPr>
            <w:r w:rsidRPr="00321E29">
              <w:rPr>
                <w:rFonts w:ascii="Times New Roman" w:hAnsi="Times New Roman"/>
                <w:sz w:val="28"/>
                <w:szCs w:val="28"/>
                <w:lang w:val="uk-UA"/>
              </w:rPr>
              <w:t>2 мг⁄кг</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4</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35,8±2,05º*</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1,35±0,11º*</w:t>
            </w:r>
          </w:p>
        </w:tc>
        <w:tc>
          <w:tcPr>
            <w:tcW w:w="1842"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3,33±0,16º*</w:t>
            </w:r>
          </w:p>
        </w:tc>
      </w:tr>
      <w:tr w:rsidR="001F0A71" w:rsidRPr="00321E29" w:rsidTr="001F0A71">
        <w:trPr>
          <w:trHeight w:val="270"/>
        </w:trPr>
        <w:tc>
          <w:tcPr>
            <w:tcW w:w="2722" w:type="dxa"/>
            <w:vMerge/>
            <w:vAlign w:val="center"/>
          </w:tcPr>
          <w:p w:rsidR="001F0A71" w:rsidRPr="00321E29" w:rsidRDefault="001F0A71" w:rsidP="005A60C3">
            <w:pPr>
              <w:widowControl w:val="0"/>
              <w:spacing w:before="60" w:after="60" w:line="240" w:lineRule="auto"/>
              <w:ind w:hanging="68"/>
              <w:rPr>
                <w:rFonts w:ascii="Times New Roman" w:hAnsi="Times New Roman"/>
                <w:sz w:val="28"/>
                <w:szCs w:val="28"/>
                <w:lang w:val="uk-UA"/>
              </w:rPr>
            </w:pP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21</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56,5±2,10*</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2,28±0,10*</w:t>
            </w:r>
          </w:p>
        </w:tc>
        <w:tc>
          <w:tcPr>
            <w:tcW w:w="1842"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5,91±0,29*</w:t>
            </w:r>
          </w:p>
        </w:tc>
      </w:tr>
      <w:tr w:rsidR="001F0A71" w:rsidRPr="00321E29" w:rsidTr="001F0A71">
        <w:trPr>
          <w:trHeight w:val="270"/>
        </w:trPr>
        <w:tc>
          <w:tcPr>
            <w:tcW w:w="2722" w:type="dxa"/>
            <w:vMerge w:val="restart"/>
            <w:vAlign w:val="center"/>
          </w:tcPr>
          <w:p w:rsidR="001F0A71" w:rsidRPr="00321E29" w:rsidRDefault="001F0A71" w:rsidP="005A60C3">
            <w:pPr>
              <w:widowControl w:val="0"/>
              <w:spacing w:before="60" w:after="60" w:line="240" w:lineRule="auto"/>
              <w:ind w:hanging="68"/>
              <w:rPr>
                <w:rFonts w:ascii="Times New Roman" w:hAnsi="Times New Roman"/>
                <w:sz w:val="28"/>
                <w:szCs w:val="28"/>
                <w:lang w:val="uk-UA"/>
              </w:rPr>
            </w:pPr>
            <w:r w:rsidRPr="00321E29">
              <w:rPr>
                <w:rFonts w:ascii="Times New Roman" w:hAnsi="Times New Roman"/>
                <w:sz w:val="28"/>
                <w:szCs w:val="28"/>
                <w:lang w:val="uk-UA"/>
              </w:rPr>
              <w:t>САК + німодипін,</w:t>
            </w:r>
          </w:p>
          <w:p w:rsidR="001F0A71" w:rsidRPr="00321E29" w:rsidRDefault="001F0A71" w:rsidP="005A60C3">
            <w:pPr>
              <w:widowControl w:val="0"/>
              <w:spacing w:before="60" w:after="60" w:line="240" w:lineRule="auto"/>
              <w:ind w:hanging="68"/>
              <w:rPr>
                <w:rFonts w:ascii="Times New Roman" w:hAnsi="Times New Roman"/>
                <w:sz w:val="28"/>
                <w:szCs w:val="28"/>
                <w:lang w:val="uk-UA"/>
              </w:rPr>
            </w:pPr>
            <w:r w:rsidRPr="00321E29">
              <w:rPr>
                <w:rFonts w:ascii="Times New Roman" w:hAnsi="Times New Roman"/>
                <w:sz w:val="28"/>
                <w:szCs w:val="28"/>
                <w:lang w:val="uk-UA"/>
              </w:rPr>
              <w:t>30 мкг⁄кг</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4</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37,5±2,03º*</w:t>
            </w:r>
            <w:r w:rsidRPr="00321E29">
              <w:rPr>
                <w:rFonts w:ascii="Times New Roman" w:hAnsi="Times New Roman"/>
                <w:sz w:val="28"/>
                <w:szCs w:val="28"/>
                <w:vertAlign w:val="superscript"/>
                <w:lang w:val="uk-UA"/>
              </w:rPr>
              <w:t>&amp;#</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1,40±0,13º*</w:t>
            </w:r>
            <w:r w:rsidRPr="00321E29">
              <w:rPr>
                <w:rFonts w:ascii="Times New Roman" w:hAnsi="Times New Roman"/>
                <w:sz w:val="28"/>
                <w:szCs w:val="28"/>
                <w:vertAlign w:val="superscript"/>
                <w:lang w:val="uk-UA"/>
              </w:rPr>
              <w:t>&amp;#</w:t>
            </w:r>
          </w:p>
        </w:tc>
        <w:tc>
          <w:tcPr>
            <w:tcW w:w="1842"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3,46±0,14º*</w:t>
            </w:r>
            <w:r w:rsidRPr="00321E29">
              <w:rPr>
                <w:rFonts w:ascii="Times New Roman" w:hAnsi="Times New Roman"/>
                <w:sz w:val="28"/>
                <w:szCs w:val="28"/>
                <w:vertAlign w:val="superscript"/>
                <w:lang w:val="uk-UA"/>
              </w:rPr>
              <w:t>&amp;#</w:t>
            </w:r>
          </w:p>
        </w:tc>
      </w:tr>
      <w:tr w:rsidR="001F0A71" w:rsidRPr="00321E29" w:rsidTr="001F0A71">
        <w:trPr>
          <w:trHeight w:val="270"/>
        </w:trPr>
        <w:tc>
          <w:tcPr>
            <w:tcW w:w="2722" w:type="dxa"/>
            <w:vMerge/>
            <w:vAlign w:val="center"/>
          </w:tcPr>
          <w:p w:rsidR="001F0A71" w:rsidRPr="00321E29" w:rsidRDefault="001F0A71" w:rsidP="005A60C3">
            <w:pPr>
              <w:widowControl w:val="0"/>
              <w:spacing w:before="60" w:after="60" w:line="240" w:lineRule="auto"/>
              <w:ind w:hanging="68"/>
              <w:rPr>
                <w:rFonts w:ascii="Times New Roman" w:hAnsi="Times New Roman"/>
                <w:sz w:val="28"/>
                <w:szCs w:val="28"/>
                <w:lang w:val="uk-UA"/>
              </w:rPr>
            </w:pP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21</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61,4±2,29*</w:t>
            </w:r>
            <w:r w:rsidRPr="00321E29">
              <w:rPr>
                <w:rFonts w:ascii="Times New Roman" w:hAnsi="Times New Roman"/>
                <w:sz w:val="28"/>
                <w:szCs w:val="28"/>
                <w:vertAlign w:val="superscript"/>
                <w:lang w:val="uk-UA"/>
              </w:rPr>
              <w:t>&amp;#</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2,34±0,14*</w:t>
            </w:r>
            <w:r w:rsidRPr="00321E29">
              <w:rPr>
                <w:rFonts w:ascii="Times New Roman" w:hAnsi="Times New Roman"/>
                <w:sz w:val="28"/>
                <w:szCs w:val="28"/>
                <w:vertAlign w:val="superscript"/>
                <w:lang w:val="uk-UA"/>
              </w:rPr>
              <w:t>&amp;#</w:t>
            </w:r>
          </w:p>
        </w:tc>
        <w:tc>
          <w:tcPr>
            <w:tcW w:w="1842"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6,15±0,25*</w:t>
            </w:r>
            <w:r w:rsidRPr="00321E29">
              <w:rPr>
                <w:rFonts w:ascii="Times New Roman" w:hAnsi="Times New Roman"/>
                <w:sz w:val="28"/>
                <w:szCs w:val="28"/>
                <w:vertAlign w:val="superscript"/>
                <w:lang w:val="uk-UA"/>
              </w:rPr>
              <w:t>&amp;#</w:t>
            </w:r>
          </w:p>
        </w:tc>
      </w:tr>
      <w:tr w:rsidR="001F0A71" w:rsidRPr="00321E29" w:rsidTr="001F0A71">
        <w:trPr>
          <w:trHeight w:val="270"/>
        </w:trPr>
        <w:tc>
          <w:tcPr>
            <w:tcW w:w="2722" w:type="dxa"/>
            <w:vMerge w:val="restart"/>
            <w:vAlign w:val="center"/>
          </w:tcPr>
          <w:p w:rsidR="001F0A71" w:rsidRPr="00321E29" w:rsidRDefault="001F0A71" w:rsidP="005A60C3">
            <w:pPr>
              <w:widowControl w:val="0"/>
              <w:spacing w:before="60" w:after="60" w:line="240" w:lineRule="auto"/>
              <w:ind w:hanging="68"/>
              <w:rPr>
                <w:rFonts w:ascii="Times New Roman" w:hAnsi="Times New Roman"/>
                <w:sz w:val="28"/>
                <w:szCs w:val="28"/>
                <w:lang w:val="uk-UA"/>
              </w:rPr>
            </w:pPr>
            <w:r w:rsidRPr="00321E29">
              <w:rPr>
                <w:rFonts w:ascii="Times New Roman" w:hAnsi="Times New Roman"/>
                <w:sz w:val="28"/>
                <w:szCs w:val="28"/>
                <w:lang w:val="uk-UA"/>
              </w:rPr>
              <w:t>САК + амантадину сульфат, 10 мг⁄кг</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4</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32,4±1,80º</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1,20±0,14º</w:t>
            </w:r>
          </w:p>
        </w:tc>
        <w:tc>
          <w:tcPr>
            <w:tcW w:w="1842"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2,95±0,17º*</w:t>
            </w:r>
          </w:p>
        </w:tc>
      </w:tr>
      <w:tr w:rsidR="001F0A71" w:rsidRPr="00321E29" w:rsidTr="001F0A71">
        <w:trPr>
          <w:trHeight w:val="270"/>
        </w:trPr>
        <w:tc>
          <w:tcPr>
            <w:tcW w:w="2722" w:type="dxa"/>
            <w:vMerge/>
            <w:vAlign w:val="center"/>
          </w:tcPr>
          <w:p w:rsidR="001F0A71" w:rsidRPr="00321E29" w:rsidRDefault="001F0A71" w:rsidP="005A60C3">
            <w:pPr>
              <w:widowControl w:val="0"/>
              <w:spacing w:before="60" w:after="60" w:line="240" w:lineRule="auto"/>
              <w:ind w:hanging="68"/>
              <w:rPr>
                <w:rFonts w:ascii="Times New Roman" w:hAnsi="Times New Roman"/>
                <w:sz w:val="28"/>
                <w:szCs w:val="28"/>
                <w:lang w:val="uk-UA"/>
              </w:rPr>
            </w:pP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21</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50,0±1,82º*</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1,99±0,09º*</w:t>
            </w:r>
          </w:p>
        </w:tc>
        <w:tc>
          <w:tcPr>
            <w:tcW w:w="1842"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5,12±0,22º*</w:t>
            </w:r>
          </w:p>
        </w:tc>
      </w:tr>
      <w:tr w:rsidR="001F0A71" w:rsidRPr="00321E29" w:rsidTr="001F0A71">
        <w:trPr>
          <w:trHeight w:val="531"/>
        </w:trPr>
        <w:tc>
          <w:tcPr>
            <w:tcW w:w="2722" w:type="dxa"/>
            <w:vMerge w:val="restart"/>
            <w:vAlign w:val="center"/>
          </w:tcPr>
          <w:p w:rsidR="001F0A71" w:rsidRPr="00321E29" w:rsidRDefault="001F0A71" w:rsidP="005A60C3">
            <w:pPr>
              <w:widowControl w:val="0"/>
              <w:spacing w:before="60" w:after="60" w:line="240" w:lineRule="auto"/>
              <w:ind w:hanging="68"/>
              <w:rPr>
                <w:rFonts w:ascii="Times New Roman" w:hAnsi="Times New Roman"/>
                <w:sz w:val="28"/>
                <w:szCs w:val="28"/>
                <w:lang w:val="uk-UA"/>
              </w:rPr>
            </w:pPr>
            <w:r w:rsidRPr="00321E29">
              <w:rPr>
                <w:rFonts w:ascii="Times New Roman" w:hAnsi="Times New Roman"/>
                <w:sz w:val="28"/>
                <w:szCs w:val="28"/>
                <w:lang w:val="uk-UA"/>
              </w:rPr>
              <w:t xml:space="preserve">САК + магнію сульфат, </w:t>
            </w:r>
          </w:p>
          <w:p w:rsidR="001F0A71" w:rsidRPr="00321E29" w:rsidRDefault="001F0A71" w:rsidP="005A60C3">
            <w:pPr>
              <w:widowControl w:val="0"/>
              <w:spacing w:before="60" w:after="60" w:line="240" w:lineRule="auto"/>
              <w:ind w:hanging="68"/>
              <w:rPr>
                <w:rFonts w:ascii="Times New Roman" w:hAnsi="Times New Roman"/>
                <w:b/>
                <w:sz w:val="28"/>
                <w:szCs w:val="28"/>
                <w:lang w:val="uk-UA"/>
              </w:rPr>
            </w:pPr>
            <w:r w:rsidRPr="00C25102">
              <w:rPr>
                <w:rFonts w:ascii="Times New Roman" w:hAnsi="Times New Roman"/>
                <w:sz w:val="28"/>
                <w:szCs w:val="28"/>
                <w:lang w:val="uk-UA"/>
              </w:rPr>
              <w:t>250</w:t>
            </w:r>
            <w:r w:rsidRPr="00321E29">
              <w:rPr>
                <w:rFonts w:ascii="Times New Roman" w:hAnsi="Times New Roman"/>
                <w:sz w:val="28"/>
                <w:szCs w:val="28"/>
                <w:lang w:val="uk-UA"/>
              </w:rPr>
              <w:t>мг⁄кг</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4</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29,8±1,82º</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1,03±0,10º</w:t>
            </w:r>
          </w:p>
        </w:tc>
        <w:tc>
          <w:tcPr>
            <w:tcW w:w="1842"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2,64±0,12º</w:t>
            </w:r>
          </w:p>
        </w:tc>
      </w:tr>
      <w:tr w:rsidR="001F0A71" w:rsidRPr="00321E29" w:rsidTr="001F0A71">
        <w:trPr>
          <w:trHeight w:val="270"/>
        </w:trPr>
        <w:tc>
          <w:tcPr>
            <w:tcW w:w="2722" w:type="dxa"/>
            <w:vMerge/>
            <w:vAlign w:val="center"/>
          </w:tcPr>
          <w:p w:rsidR="001F0A71" w:rsidRPr="00321E29" w:rsidRDefault="001F0A71" w:rsidP="005A60C3">
            <w:pPr>
              <w:widowControl w:val="0"/>
              <w:spacing w:before="60" w:after="60" w:line="240" w:lineRule="auto"/>
              <w:ind w:hanging="68"/>
              <w:rPr>
                <w:rFonts w:ascii="Times New Roman" w:hAnsi="Times New Roman"/>
                <w:sz w:val="28"/>
                <w:szCs w:val="28"/>
                <w:lang w:val="uk-UA"/>
              </w:rPr>
            </w:pP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sz w:val="28"/>
                <w:szCs w:val="28"/>
                <w:lang w:val="uk-UA"/>
              </w:rPr>
            </w:pPr>
            <w:r w:rsidRPr="00321E29">
              <w:rPr>
                <w:rFonts w:ascii="Times New Roman" w:hAnsi="Times New Roman"/>
                <w:sz w:val="28"/>
                <w:szCs w:val="28"/>
                <w:lang w:val="uk-UA"/>
              </w:rPr>
              <w:t>21</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43,1±1,12º</w:t>
            </w:r>
          </w:p>
        </w:tc>
        <w:tc>
          <w:tcPr>
            <w:tcW w:w="1843"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1,54±0,11º</w:t>
            </w:r>
          </w:p>
        </w:tc>
        <w:tc>
          <w:tcPr>
            <w:tcW w:w="1842" w:type="dxa"/>
            <w:vAlign w:val="center"/>
          </w:tcPr>
          <w:p w:rsidR="001F0A71" w:rsidRPr="00321E29" w:rsidRDefault="001F0A71" w:rsidP="005A60C3">
            <w:pPr>
              <w:widowControl w:val="0"/>
              <w:spacing w:before="60" w:after="60" w:line="240" w:lineRule="auto"/>
              <w:ind w:hanging="68"/>
              <w:jc w:val="center"/>
              <w:rPr>
                <w:rFonts w:ascii="Times New Roman" w:hAnsi="Times New Roman"/>
                <w:lang w:val="uk-UA"/>
              </w:rPr>
            </w:pPr>
            <w:r w:rsidRPr="00321E29">
              <w:rPr>
                <w:rFonts w:ascii="Times New Roman" w:hAnsi="Times New Roman"/>
                <w:sz w:val="28"/>
                <w:szCs w:val="28"/>
                <w:lang w:val="uk-UA"/>
              </w:rPr>
              <w:t>4,28±0,24º*</w:t>
            </w:r>
          </w:p>
        </w:tc>
      </w:tr>
    </w:tbl>
    <w:p w:rsidR="001F0A71" w:rsidRPr="005A60C3" w:rsidRDefault="001F0A71" w:rsidP="0069152C">
      <w:pPr>
        <w:widowControl w:val="0"/>
        <w:tabs>
          <w:tab w:val="left" w:pos="1080"/>
        </w:tabs>
        <w:spacing w:after="0" w:line="240" w:lineRule="auto"/>
        <w:ind w:firstLine="284"/>
        <w:jc w:val="both"/>
        <w:rPr>
          <w:rFonts w:ascii="Times New Roman" w:hAnsi="Times New Roman"/>
          <w:sz w:val="28"/>
          <w:szCs w:val="28"/>
          <w:lang w:val="uk-UA"/>
        </w:rPr>
      </w:pPr>
    </w:p>
    <w:p w:rsidR="001F0A71" w:rsidRDefault="001F0A71" w:rsidP="0069152C">
      <w:pPr>
        <w:widowControl w:val="0"/>
        <w:tabs>
          <w:tab w:val="left" w:pos="1080"/>
        </w:tabs>
        <w:spacing w:after="0" w:line="240" w:lineRule="auto"/>
        <w:ind w:firstLine="284"/>
        <w:jc w:val="both"/>
        <w:rPr>
          <w:rFonts w:ascii="Times New Roman" w:hAnsi="Times New Roman"/>
          <w:sz w:val="28"/>
          <w:szCs w:val="28"/>
          <w:lang w:val="uk-UA"/>
        </w:rPr>
      </w:pPr>
      <w:r w:rsidRPr="00F42677">
        <w:rPr>
          <w:rFonts w:ascii="Times New Roman" w:hAnsi="Times New Roman"/>
          <w:sz w:val="28"/>
          <w:szCs w:val="28"/>
          <w:lang w:val="uk-UA"/>
        </w:rPr>
        <w:t>Примітки:</w:t>
      </w:r>
    </w:p>
    <w:p w:rsidR="001F0A71" w:rsidRPr="00F42677" w:rsidRDefault="001F0A71" w:rsidP="00086591">
      <w:pPr>
        <w:widowControl w:val="0"/>
        <w:numPr>
          <w:ilvl w:val="0"/>
          <w:numId w:val="28"/>
        </w:numPr>
        <w:tabs>
          <w:tab w:val="left" w:pos="928"/>
          <w:tab w:val="left" w:pos="1701"/>
        </w:tabs>
        <w:spacing w:after="0" w:line="360" w:lineRule="auto"/>
        <w:ind w:left="709" w:firstLine="0"/>
        <w:jc w:val="both"/>
        <w:rPr>
          <w:rFonts w:ascii="Times New Roman" w:hAnsi="Times New Roman"/>
          <w:sz w:val="28"/>
          <w:szCs w:val="28"/>
          <w:lang w:val="uk-UA"/>
        </w:rPr>
      </w:pPr>
      <w:r w:rsidRPr="00F42677">
        <w:rPr>
          <w:rFonts w:ascii="Times New Roman" w:hAnsi="Times New Roman"/>
          <w:sz w:val="28"/>
          <w:szCs w:val="28"/>
          <w:lang w:val="uk-UA"/>
        </w:rPr>
        <w:t>º – р&lt;0,05 відносно псевдооперованих тварин;</w:t>
      </w:r>
    </w:p>
    <w:p w:rsidR="001F0A71" w:rsidRPr="003D2569" w:rsidRDefault="001F0A71" w:rsidP="00086591">
      <w:pPr>
        <w:pStyle w:val="a5"/>
        <w:widowControl w:val="0"/>
        <w:numPr>
          <w:ilvl w:val="0"/>
          <w:numId w:val="28"/>
        </w:numPr>
        <w:tabs>
          <w:tab w:val="left" w:pos="928"/>
        </w:tabs>
        <w:spacing w:after="0" w:line="360" w:lineRule="auto"/>
        <w:ind w:left="709" w:firstLine="0"/>
        <w:jc w:val="both"/>
        <w:rPr>
          <w:rFonts w:ascii="Times New Roman" w:hAnsi="Times New Roman"/>
          <w:sz w:val="28"/>
          <w:szCs w:val="28"/>
          <w:lang w:val="uk-UA"/>
        </w:rPr>
      </w:pPr>
      <w:r w:rsidRPr="003D2569">
        <w:rPr>
          <w:rFonts w:ascii="Times New Roman" w:hAnsi="Times New Roman"/>
          <w:sz w:val="28"/>
          <w:szCs w:val="28"/>
          <w:lang w:val="uk-UA"/>
        </w:rPr>
        <w:t>* – р&lt;0,05 відносно контрольної патології;</w:t>
      </w:r>
    </w:p>
    <w:p w:rsidR="001F0A71" w:rsidRPr="003D2569" w:rsidRDefault="001F0A71" w:rsidP="00086591">
      <w:pPr>
        <w:pStyle w:val="a5"/>
        <w:widowControl w:val="0"/>
        <w:numPr>
          <w:ilvl w:val="0"/>
          <w:numId w:val="28"/>
        </w:numPr>
        <w:tabs>
          <w:tab w:val="left" w:pos="928"/>
        </w:tabs>
        <w:spacing w:after="0" w:line="360" w:lineRule="auto"/>
        <w:ind w:left="709" w:firstLine="0"/>
        <w:jc w:val="both"/>
        <w:rPr>
          <w:rFonts w:ascii="Times New Roman" w:hAnsi="Times New Roman"/>
          <w:sz w:val="28"/>
          <w:szCs w:val="28"/>
          <w:lang w:val="uk-UA"/>
        </w:rPr>
      </w:pPr>
      <w:r w:rsidRPr="003D2569">
        <w:rPr>
          <w:rFonts w:ascii="Times New Roman" w:hAnsi="Times New Roman"/>
          <w:sz w:val="28"/>
          <w:szCs w:val="28"/>
          <w:vertAlign w:val="superscript"/>
          <w:lang w:val="uk-UA"/>
        </w:rPr>
        <w:t xml:space="preserve"># </w:t>
      </w:r>
      <w:r w:rsidRPr="003D2569">
        <w:rPr>
          <w:rFonts w:ascii="Times New Roman" w:hAnsi="Times New Roman"/>
          <w:sz w:val="28"/>
          <w:szCs w:val="28"/>
          <w:lang w:val="uk-UA"/>
        </w:rPr>
        <w:t>– р&lt;0,05 у відповідні строки між адемолом та магнієм сульфатом;</w:t>
      </w:r>
    </w:p>
    <w:p w:rsidR="001F0A71" w:rsidRDefault="001F0A71" w:rsidP="00086591">
      <w:pPr>
        <w:pStyle w:val="a5"/>
        <w:widowControl w:val="0"/>
        <w:numPr>
          <w:ilvl w:val="0"/>
          <w:numId w:val="28"/>
        </w:numPr>
        <w:tabs>
          <w:tab w:val="left" w:pos="928"/>
        </w:tabs>
        <w:spacing w:after="0" w:line="360" w:lineRule="auto"/>
        <w:ind w:left="709" w:firstLine="0"/>
        <w:jc w:val="both"/>
        <w:rPr>
          <w:rFonts w:ascii="Times New Roman" w:hAnsi="Times New Roman"/>
          <w:sz w:val="28"/>
          <w:szCs w:val="28"/>
          <w:lang w:val="uk-UA"/>
        </w:rPr>
      </w:pPr>
      <w:r w:rsidRPr="003D2569">
        <w:rPr>
          <w:rFonts w:ascii="Times New Roman" w:hAnsi="Times New Roman"/>
          <w:sz w:val="28"/>
          <w:szCs w:val="28"/>
          <w:vertAlign w:val="superscript"/>
          <w:lang w:val="uk-UA"/>
        </w:rPr>
        <w:t>&amp;</w:t>
      </w:r>
      <w:r w:rsidRPr="003D2569">
        <w:rPr>
          <w:rFonts w:ascii="Times New Roman" w:hAnsi="Times New Roman"/>
          <w:sz w:val="28"/>
          <w:szCs w:val="28"/>
          <w:lang w:val="uk-UA"/>
        </w:rPr>
        <w:t>– р&lt;0,05 у відповідні строки між адемолом та амантадином.</w:t>
      </w:r>
    </w:p>
    <w:p w:rsidR="00353F74" w:rsidRPr="007836C8" w:rsidRDefault="00353F74" w:rsidP="0069152C">
      <w:pPr>
        <w:pStyle w:val="a5"/>
        <w:widowControl w:val="0"/>
        <w:tabs>
          <w:tab w:val="left" w:pos="928"/>
        </w:tabs>
        <w:spacing w:after="0" w:line="240" w:lineRule="auto"/>
        <w:ind w:left="0" w:firstLine="284"/>
        <w:jc w:val="both"/>
        <w:rPr>
          <w:rFonts w:ascii="Times New Roman" w:hAnsi="Times New Roman"/>
          <w:sz w:val="16"/>
          <w:szCs w:val="16"/>
          <w:lang w:val="uk-UA"/>
        </w:rPr>
      </w:pPr>
    </w:p>
    <w:p w:rsidR="005A60C3" w:rsidRDefault="005A60C3" w:rsidP="005A60C3">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Більшою мірою антиоксидантний потенціал клітин головного мозку зростав на тлі застосування препаратів упродовж 21-ї доби САК.Так, введення німодипіну, адемолу та амантадину сульфату супроводжувалось збільшенням порівняно із тотожними показниками у щурів групи контрольно патології активності ГПО в середньому відповідно на 40,5, 52,7 і 17,9 %, СОД – на 65,2, 69,6 та 37,1 %, а також каталази відповідно на 68,9, 75,7 та 42,6 %,.</w:t>
      </w:r>
    </w:p>
    <w:p w:rsidR="001F0A71" w:rsidRPr="00F42677" w:rsidRDefault="001F0A71" w:rsidP="0069152C">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При цьому, тривале 21-но денне введення магнію сульфату достовірно не впливало на активність ГПО та СОД, і вірогідно (в середньому на 22,4 %) зменшувало активність каталази. Отже, адемол та німодипін найбільшою мірою зме</w:t>
      </w:r>
      <w:r w:rsidR="00353F74">
        <w:rPr>
          <w:rFonts w:ascii="Times New Roman" w:hAnsi="Times New Roman"/>
          <w:sz w:val="28"/>
          <w:szCs w:val="28"/>
          <w:lang w:val="uk-UA"/>
        </w:rPr>
        <w:t>ншували негативний вплив ішемічно</w:t>
      </w:r>
      <w:r w:rsidRPr="00F42677">
        <w:rPr>
          <w:rFonts w:ascii="Times New Roman" w:hAnsi="Times New Roman"/>
          <w:sz w:val="28"/>
          <w:szCs w:val="28"/>
          <w:lang w:val="uk-UA"/>
        </w:rPr>
        <w:t xml:space="preserve">-гіпоксичного чинника в умовах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42677">
        <w:rPr>
          <w:rFonts w:ascii="Times New Roman" w:hAnsi="Times New Roman"/>
          <w:sz w:val="28"/>
          <w:szCs w:val="28"/>
          <w:lang w:val="uk-UA"/>
        </w:rPr>
        <w:t xml:space="preserve"> на стан ензимних систем інактивації активних форм кисню. У амантадину сульфату вказаний ефект порівняно з попередніми препаратами проявився достовірно меншою мірою, проте у магнезії така дія була майже відсутньою взагалі.</w:t>
      </w:r>
    </w:p>
    <w:p w:rsidR="001F0A71" w:rsidRDefault="001F0A71" w:rsidP="007836C8">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 xml:space="preserve">Встановлено, що за умов модельного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42677">
        <w:rPr>
          <w:rFonts w:ascii="Times New Roman" w:hAnsi="Times New Roman"/>
          <w:sz w:val="28"/>
          <w:szCs w:val="28"/>
          <w:lang w:val="uk-UA"/>
        </w:rPr>
        <w:t xml:space="preserve"> в структурах головного мозку щурів формувався дисбаланс у системі L-аргінін / NO (табл. 6.5). </w:t>
      </w:r>
    </w:p>
    <w:p w:rsidR="0036311A" w:rsidRPr="00F42677" w:rsidRDefault="0036311A" w:rsidP="0036311A">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 xml:space="preserve">Зокрема, станом на 4-ту добу експерименту вміст в нейронах амінокислоти аргініну знизився відносно псевдооперованих тварин в середньому на 68,9 %, а сумарна активність NO-синтази зростала відповідно на 57,6 %. У той же час, станом на 21-шу добу експерименту зменшення пулу L-аргініну становило в середньому 50,2 %, а підвищення активності NO-синтази було в межах 46,1 %, що виявилось достовірно меншим проти гострого періоду. Можна зробити висновок, що виснаження запасів аргініну відбувається за рахунок активації NO-синтази, для якої ця амінокислота є субстратом. У свою чергу, певною мірою, наростання активності NO-синтази, можна пояснити активуючим впливом факторів запалення на експресію відповідних генів, що особливо має місце у відновний період. </w:t>
      </w:r>
    </w:p>
    <w:p w:rsidR="0036311A" w:rsidRDefault="0036311A" w:rsidP="0036311A">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 xml:space="preserve">Пропонована терапія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42677">
        <w:rPr>
          <w:rFonts w:ascii="Times New Roman" w:hAnsi="Times New Roman"/>
          <w:sz w:val="28"/>
          <w:szCs w:val="28"/>
          <w:lang w:val="uk-UA"/>
        </w:rPr>
        <w:t xml:space="preserve"> зменшувала дисбаланс в NO-продукуючій системі, за виключенням єдиного препарату – магнію сульфату, який достовірно не впливав на рівень L-аргініну та активність NO-синтази (табл. 6.5). При використанні препаратів упродовж перших 4-х діб ВМК інтрацребральний вміст L-аргініну вірогідно зростав, тоді як активність NO-синтази зменшувалась.</w:t>
      </w:r>
    </w:p>
    <w:p w:rsidR="0036311A" w:rsidRDefault="0036311A" w:rsidP="0036311A">
      <w:pPr>
        <w:widowControl w:val="0"/>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lastRenderedPageBreak/>
        <w:t>Причому достеменна деескалація відбувалась лише на тлі застосування адемолу та німодипіну. Натомість, тривале застосування досліджуваних препаратів упродовж 21-ї доби інсульту, чинило статистичний депримуючий вплив на сумарну активність NO-синтази та викликало достовірне підвищення запасів L-аргініну.</w:t>
      </w:r>
    </w:p>
    <w:p w:rsidR="0036311A" w:rsidRDefault="0036311A" w:rsidP="007836C8">
      <w:pPr>
        <w:widowControl w:val="0"/>
        <w:spacing w:after="0" w:line="360" w:lineRule="auto"/>
        <w:ind w:firstLine="284"/>
        <w:jc w:val="both"/>
        <w:rPr>
          <w:rFonts w:ascii="Times New Roman" w:hAnsi="Times New Roman"/>
          <w:sz w:val="28"/>
          <w:szCs w:val="28"/>
          <w:lang w:val="uk-UA"/>
        </w:rPr>
      </w:pPr>
    </w:p>
    <w:p w:rsidR="001F0A71" w:rsidRPr="00F42677" w:rsidRDefault="001F0A71" w:rsidP="001F0A71">
      <w:pPr>
        <w:pStyle w:val="-1"/>
        <w:widowControl w:val="0"/>
        <w:spacing w:line="360" w:lineRule="auto"/>
        <w:ind w:firstLine="284"/>
        <w:jc w:val="right"/>
        <w:rPr>
          <w:lang w:val="uk-UA"/>
        </w:rPr>
      </w:pPr>
      <w:r w:rsidRPr="00F42677">
        <w:rPr>
          <w:sz w:val="28"/>
          <w:szCs w:val="28"/>
          <w:lang w:val="uk-UA"/>
        </w:rPr>
        <w:t>Таблиця 6.5</w:t>
      </w:r>
    </w:p>
    <w:p w:rsidR="001F0A71" w:rsidRDefault="001F0A71" w:rsidP="007836C8">
      <w:pPr>
        <w:widowControl w:val="0"/>
        <w:spacing w:after="0" w:line="360" w:lineRule="auto"/>
        <w:ind w:firstLine="284"/>
        <w:jc w:val="center"/>
        <w:rPr>
          <w:rFonts w:ascii="Times New Roman" w:hAnsi="Times New Roman"/>
          <w:sz w:val="28"/>
          <w:szCs w:val="28"/>
          <w:lang w:val="uk-UA"/>
        </w:rPr>
      </w:pPr>
      <w:r w:rsidRPr="006F4F52">
        <w:rPr>
          <w:rFonts w:ascii="Times New Roman" w:hAnsi="Times New Roman"/>
          <w:sz w:val="28"/>
          <w:szCs w:val="28"/>
          <w:lang w:val="uk-UA"/>
        </w:rPr>
        <w:t xml:space="preserve">Вплив терапії адемолом та препаратами порівняння на стан системи L-аргінін / NO в мозку щурів за умов </w:t>
      </w:r>
      <w:r>
        <w:rPr>
          <w:rFonts w:ascii="Times New Roman" w:hAnsi="Times New Roman"/>
          <w:sz w:val="28"/>
          <w:szCs w:val="28"/>
          <w:lang w:val="uk-UA"/>
        </w:rPr>
        <w:t xml:space="preserve">внутрішньочерепного крововиливу, </w:t>
      </w:r>
      <w:r w:rsidRPr="006F4F52">
        <w:rPr>
          <w:rFonts w:ascii="Times New Roman" w:hAnsi="Times New Roman"/>
          <w:sz w:val="28"/>
          <w:szCs w:val="28"/>
          <w:lang w:val="uk-UA"/>
        </w:rPr>
        <w:t>М±m</w:t>
      </w:r>
      <w:r w:rsidRPr="000453FA">
        <w:rPr>
          <w:rFonts w:ascii="Times New Roman" w:hAnsi="Times New Roman"/>
          <w:sz w:val="28"/>
          <w:szCs w:val="28"/>
          <w:lang w:val="uk-UA"/>
        </w:rPr>
        <w:t>(n=15)</w:t>
      </w:r>
    </w:p>
    <w:p w:rsidR="0036311A" w:rsidRDefault="0036311A" w:rsidP="007836C8">
      <w:pPr>
        <w:widowControl w:val="0"/>
        <w:spacing w:after="0" w:line="360" w:lineRule="auto"/>
        <w:ind w:firstLine="284"/>
        <w:jc w:val="center"/>
        <w:rPr>
          <w:rFonts w:ascii="Times New Roman" w:hAnsi="Times New Roman"/>
          <w:sz w:val="28"/>
          <w:szCs w:val="28"/>
          <w:lang w:val="uk-UA"/>
        </w:rPr>
      </w:pP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85"/>
        <w:gridCol w:w="1879"/>
        <w:gridCol w:w="1970"/>
        <w:gridCol w:w="1910"/>
      </w:tblGrid>
      <w:tr w:rsidR="001F0A71" w:rsidRPr="006F4F52" w:rsidTr="00BB6F54">
        <w:trPr>
          <w:trHeight w:val="270"/>
          <w:jc w:val="center"/>
        </w:trPr>
        <w:tc>
          <w:tcPr>
            <w:tcW w:w="3585" w:type="dxa"/>
            <w:vMerge w:val="restart"/>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Групи тварин</w:t>
            </w:r>
          </w:p>
        </w:tc>
        <w:tc>
          <w:tcPr>
            <w:tcW w:w="1879" w:type="dxa"/>
            <w:vMerge w:val="restart"/>
            <w:vAlign w:val="center"/>
          </w:tcPr>
          <w:p w:rsidR="001F0A71" w:rsidRPr="006F4F52" w:rsidRDefault="001F0A71" w:rsidP="00086591">
            <w:pPr>
              <w:widowControl w:val="0"/>
              <w:spacing w:before="60" w:after="60" w:line="240" w:lineRule="auto"/>
              <w:ind w:right="113"/>
              <w:jc w:val="center"/>
              <w:rPr>
                <w:rFonts w:ascii="Times New Roman" w:hAnsi="Times New Roman"/>
                <w:sz w:val="28"/>
                <w:szCs w:val="28"/>
                <w:lang w:val="uk-UA"/>
              </w:rPr>
            </w:pPr>
            <w:r w:rsidRPr="006F4F52">
              <w:rPr>
                <w:rFonts w:ascii="Times New Roman" w:hAnsi="Times New Roman"/>
                <w:sz w:val="28"/>
                <w:szCs w:val="28"/>
                <w:lang w:val="uk-UA"/>
              </w:rPr>
              <w:t>Термін</w:t>
            </w:r>
          </w:p>
          <w:p w:rsidR="001F0A71" w:rsidRPr="006F4F52" w:rsidRDefault="001F0A71" w:rsidP="00086591">
            <w:pPr>
              <w:widowControl w:val="0"/>
              <w:spacing w:before="60" w:after="60" w:line="240" w:lineRule="auto"/>
              <w:ind w:right="-108"/>
              <w:jc w:val="center"/>
              <w:rPr>
                <w:rFonts w:ascii="Times New Roman" w:hAnsi="Times New Roman"/>
                <w:sz w:val="28"/>
                <w:szCs w:val="28"/>
                <w:lang w:val="uk-UA"/>
              </w:rPr>
            </w:pPr>
            <w:r w:rsidRPr="006F4F52">
              <w:rPr>
                <w:rFonts w:ascii="Times New Roman" w:hAnsi="Times New Roman"/>
                <w:sz w:val="28"/>
                <w:szCs w:val="28"/>
                <w:lang w:val="uk-UA"/>
              </w:rPr>
              <w:t>експерименту (доба)</w:t>
            </w:r>
          </w:p>
        </w:tc>
        <w:tc>
          <w:tcPr>
            <w:tcW w:w="3880" w:type="dxa"/>
            <w:gridSpan w:val="2"/>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Показники</w:t>
            </w:r>
          </w:p>
        </w:tc>
      </w:tr>
      <w:tr w:rsidR="001F0A71" w:rsidRPr="006F4F52" w:rsidTr="00BB6F54">
        <w:trPr>
          <w:trHeight w:val="270"/>
          <w:jc w:val="center"/>
        </w:trPr>
        <w:tc>
          <w:tcPr>
            <w:tcW w:w="3585" w:type="dxa"/>
            <w:vMerge/>
            <w:vAlign w:val="center"/>
          </w:tcPr>
          <w:p w:rsidR="001F0A71" w:rsidRPr="006F4F52" w:rsidRDefault="001F0A71" w:rsidP="00086591">
            <w:pPr>
              <w:widowControl w:val="0"/>
              <w:spacing w:before="60" w:after="60" w:line="240" w:lineRule="auto"/>
              <w:rPr>
                <w:rFonts w:ascii="Times New Roman" w:hAnsi="Times New Roman"/>
                <w:sz w:val="28"/>
                <w:szCs w:val="28"/>
                <w:lang w:val="uk-UA"/>
              </w:rPr>
            </w:pPr>
          </w:p>
        </w:tc>
        <w:tc>
          <w:tcPr>
            <w:tcW w:w="1879" w:type="dxa"/>
            <w:vMerge/>
            <w:vAlign w:val="center"/>
          </w:tcPr>
          <w:p w:rsidR="001F0A71" w:rsidRPr="006F4F52" w:rsidRDefault="001F0A71" w:rsidP="00086591">
            <w:pPr>
              <w:widowControl w:val="0"/>
              <w:spacing w:before="60" w:after="60" w:line="240" w:lineRule="auto"/>
              <w:rPr>
                <w:rFonts w:ascii="Times New Roman" w:hAnsi="Times New Roman"/>
                <w:sz w:val="28"/>
                <w:szCs w:val="28"/>
                <w:lang w:val="uk-UA"/>
              </w:rPr>
            </w:pPr>
          </w:p>
        </w:tc>
        <w:tc>
          <w:tcPr>
            <w:tcW w:w="197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 xml:space="preserve">L-аргінін, </w:t>
            </w:r>
          </w:p>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нмоль / мг протеїну</w:t>
            </w:r>
          </w:p>
        </w:tc>
        <w:tc>
          <w:tcPr>
            <w:tcW w:w="191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 xml:space="preserve">NO-синтаза, </w:t>
            </w:r>
          </w:p>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пмоль / хв на 1 мг протеїну</w:t>
            </w:r>
          </w:p>
        </w:tc>
      </w:tr>
      <w:tr w:rsidR="001F0A71" w:rsidRPr="006F4F52" w:rsidTr="00BB6F54">
        <w:trPr>
          <w:trHeight w:val="270"/>
          <w:jc w:val="center"/>
        </w:trPr>
        <w:tc>
          <w:tcPr>
            <w:tcW w:w="3585" w:type="dxa"/>
            <w:vMerge w:val="restart"/>
            <w:vAlign w:val="center"/>
          </w:tcPr>
          <w:p w:rsidR="001F0A71" w:rsidRPr="006F4F52" w:rsidRDefault="001F0A71" w:rsidP="00086591">
            <w:pPr>
              <w:widowControl w:val="0"/>
              <w:spacing w:before="60" w:after="60" w:line="240" w:lineRule="auto"/>
              <w:rPr>
                <w:rFonts w:ascii="Times New Roman" w:hAnsi="Times New Roman"/>
                <w:b/>
                <w:sz w:val="28"/>
                <w:szCs w:val="28"/>
                <w:lang w:val="uk-UA"/>
              </w:rPr>
            </w:pPr>
            <w:r w:rsidRPr="006F4F52">
              <w:rPr>
                <w:rFonts w:ascii="Times New Roman" w:hAnsi="Times New Roman"/>
                <w:sz w:val="28"/>
                <w:szCs w:val="28"/>
                <w:lang w:val="uk-UA"/>
              </w:rPr>
              <w:t>Псевдооперовані тварини + 0,9% NаСІ, 2 мл/кг</w:t>
            </w:r>
          </w:p>
        </w:tc>
        <w:tc>
          <w:tcPr>
            <w:tcW w:w="1879"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4</w:t>
            </w:r>
          </w:p>
        </w:tc>
        <w:tc>
          <w:tcPr>
            <w:tcW w:w="197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61,5±1,25</w:t>
            </w:r>
          </w:p>
        </w:tc>
        <w:tc>
          <w:tcPr>
            <w:tcW w:w="191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118±2,88</w:t>
            </w:r>
          </w:p>
        </w:tc>
      </w:tr>
      <w:tr w:rsidR="001F0A71" w:rsidRPr="006F4F52" w:rsidTr="00BB6F54">
        <w:trPr>
          <w:trHeight w:val="270"/>
          <w:jc w:val="center"/>
        </w:trPr>
        <w:tc>
          <w:tcPr>
            <w:tcW w:w="3585" w:type="dxa"/>
            <w:vMerge/>
            <w:vAlign w:val="center"/>
          </w:tcPr>
          <w:p w:rsidR="001F0A71" w:rsidRPr="006F4F52" w:rsidRDefault="001F0A71" w:rsidP="00086591">
            <w:pPr>
              <w:widowControl w:val="0"/>
              <w:spacing w:before="60" w:after="60" w:line="240" w:lineRule="auto"/>
              <w:rPr>
                <w:rFonts w:ascii="Times New Roman" w:hAnsi="Times New Roman"/>
                <w:sz w:val="28"/>
                <w:szCs w:val="28"/>
                <w:lang w:val="uk-UA"/>
              </w:rPr>
            </w:pPr>
          </w:p>
        </w:tc>
        <w:tc>
          <w:tcPr>
            <w:tcW w:w="1879"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21</w:t>
            </w:r>
          </w:p>
        </w:tc>
        <w:tc>
          <w:tcPr>
            <w:tcW w:w="197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60,4±1,32</w:t>
            </w:r>
          </w:p>
        </w:tc>
        <w:tc>
          <w:tcPr>
            <w:tcW w:w="191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115±3,09</w:t>
            </w:r>
          </w:p>
        </w:tc>
      </w:tr>
      <w:tr w:rsidR="001F0A71" w:rsidRPr="006F4F52" w:rsidTr="00BB6F54">
        <w:trPr>
          <w:trHeight w:val="270"/>
          <w:jc w:val="center"/>
        </w:trPr>
        <w:tc>
          <w:tcPr>
            <w:tcW w:w="3585" w:type="dxa"/>
            <w:vMerge w:val="restart"/>
            <w:vAlign w:val="center"/>
          </w:tcPr>
          <w:p w:rsidR="001F0A71" w:rsidRPr="006F4F52" w:rsidRDefault="001F0A71" w:rsidP="00086591">
            <w:pPr>
              <w:widowControl w:val="0"/>
              <w:spacing w:before="60" w:after="60" w:line="240" w:lineRule="auto"/>
              <w:rPr>
                <w:rFonts w:ascii="Times New Roman" w:hAnsi="Times New Roman"/>
                <w:sz w:val="28"/>
                <w:szCs w:val="28"/>
                <w:lang w:val="uk-UA"/>
              </w:rPr>
            </w:pPr>
            <w:r w:rsidRPr="006F4F52">
              <w:rPr>
                <w:rFonts w:ascii="Times New Roman" w:hAnsi="Times New Roman"/>
                <w:sz w:val="28"/>
                <w:szCs w:val="28"/>
                <w:lang w:val="uk-UA"/>
              </w:rPr>
              <w:t>САК + 0,9% NаСІ, 2 мл/кг</w:t>
            </w:r>
          </w:p>
        </w:tc>
        <w:tc>
          <w:tcPr>
            <w:tcW w:w="1879"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4</w:t>
            </w:r>
          </w:p>
        </w:tc>
        <w:tc>
          <w:tcPr>
            <w:tcW w:w="197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19,1±1,10º</w:t>
            </w:r>
          </w:p>
        </w:tc>
        <w:tc>
          <w:tcPr>
            <w:tcW w:w="191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186±4,01º</w:t>
            </w:r>
          </w:p>
        </w:tc>
      </w:tr>
      <w:tr w:rsidR="001F0A71" w:rsidRPr="006F4F52" w:rsidTr="00BB6F54">
        <w:trPr>
          <w:trHeight w:val="270"/>
          <w:jc w:val="center"/>
        </w:trPr>
        <w:tc>
          <w:tcPr>
            <w:tcW w:w="3585" w:type="dxa"/>
            <w:vMerge/>
            <w:vAlign w:val="center"/>
          </w:tcPr>
          <w:p w:rsidR="001F0A71" w:rsidRPr="006F4F52" w:rsidRDefault="001F0A71" w:rsidP="00086591">
            <w:pPr>
              <w:widowControl w:val="0"/>
              <w:spacing w:before="60" w:after="60" w:line="240" w:lineRule="auto"/>
              <w:rPr>
                <w:rFonts w:ascii="Times New Roman" w:hAnsi="Times New Roman"/>
                <w:sz w:val="28"/>
                <w:szCs w:val="28"/>
                <w:lang w:val="uk-UA"/>
              </w:rPr>
            </w:pPr>
          </w:p>
        </w:tc>
        <w:tc>
          <w:tcPr>
            <w:tcW w:w="1879"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21</w:t>
            </w:r>
          </w:p>
        </w:tc>
        <w:tc>
          <w:tcPr>
            <w:tcW w:w="197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30,1±1,11º</w:t>
            </w:r>
          </w:p>
        </w:tc>
        <w:tc>
          <w:tcPr>
            <w:tcW w:w="191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168±4,07º</w:t>
            </w:r>
          </w:p>
        </w:tc>
      </w:tr>
      <w:tr w:rsidR="001F0A71" w:rsidRPr="006F4F52" w:rsidTr="00BB6F54">
        <w:trPr>
          <w:trHeight w:val="270"/>
          <w:jc w:val="center"/>
        </w:trPr>
        <w:tc>
          <w:tcPr>
            <w:tcW w:w="3585" w:type="dxa"/>
            <w:vMerge w:val="restart"/>
            <w:vAlign w:val="center"/>
          </w:tcPr>
          <w:p w:rsidR="001F0A71" w:rsidRPr="006F4F52" w:rsidRDefault="001F0A71" w:rsidP="00086591">
            <w:pPr>
              <w:widowControl w:val="0"/>
              <w:spacing w:before="60" w:after="60" w:line="240" w:lineRule="auto"/>
              <w:rPr>
                <w:rFonts w:ascii="Times New Roman" w:hAnsi="Times New Roman"/>
                <w:b/>
                <w:sz w:val="28"/>
                <w:szCs w:val="28"/>
                <w:lang w:val="uk-UA"/>
              </w:rPr>
            </w:pPr>
            <w:r w:rsidRPr="006F4F52">
              <w:rPr>
                <w:rFonts w:ascii="Times New Roman" w:hAnsi="Times New Roman"/>
                <w:sz w:val="28"/>
                <w:szCs w:val="28"/>
                <w:lang w:val="uk-UA"/>
              </w:rPr>
              <w:t>САК</w:t>
            </w:r>
            <w:r w:rsidRPr="006F4F52">
              <w:rPr>
                <w:rFonts w:ascii="Times New Roman" w:hAnsi="Times New Roman"/>
                <w:b/>
                <w:sz w:val="28"/>
                <w:szCs w:val="28"/>
                <w:lang w:val="uk-UA"/>
              </w:rPr>
              <w:t xml:space="preserve"> + </w:t>
            </w:r>
            <w:r w:rsidRPr="006F4F52">
              <w:rPr>
                <w:rFonts w:ascii="Times New Roman" w:hAnsi="Times New Roman"/>
                <w:sz w:val="28"/>
                <w:szCs w:val="28"/>
                <w:lang w:val="uk-UA"/>
              </w:rPr>
              <w:t>адемол, 2 мг⁄кг</w:t>
            </w:r>
          </w:p>
        </w:tc>
        <w:tc>
          <w:tcPr>
            <w:tcW w:w="1879"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4</w:t>
            </w:r>
          </w:p>
        </w:tc>
        <w:tc>
          <w:tcPr>
            <w:tcW w:w="197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27,5±1,08º*</w:t>
            </w:r>
          </w:p>
        </w:tc>
        <w:tc>
          <w:tcPr>
            <w:tcW w:w="191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160±3,01º*</w:t>
            </w:r>
          </w:p>
        </w:tc>
      </w:tr>
      <w:tr w:rsidR="001F0A71" w:rsidRPr="006F4F52" w:rsidTr="00BB6F54">
        <w:trPr>
          <w:trHeight w:val="270"/>
          <w:jc w:val="center"/>
        </w:trPr>
        <w:tc>
          <w:tcPr>
            <w:tcW w:w="3585" w:type="dxa"/>
            <w:vMerge/>
            <w:vAlign w:val="center"/>
          </w:tcPr>
          <w:p w:rsidR="001F0A71" w:rsidRPr="006F4F52" w:rsidRDefault="001F0A71" w:rsidP="00086591">
            <w:pPr>
              <w:widowControl w:val="0"/>
              <w:spacing w:before="60" w:after="60" w:line="240" w:lineRule="auto"/>
              <w:rPr>
                <w:rFonts w:ascii="Times New Roman" w:hAnsi="Times New Roman"/>
                <w:sz w:val="28"/>
                <w:szCs w:val="28"/>
                <w:lang w:val="uk-UA"/>
              </w:rPr>
            </w:pPr>
          </w:p>
        </w:tc>
        <w:tc>
          <w:tcPr>
            <w:tcW w:w="1879"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21</w:t>
            </w:r>
          </w:p>
        </w:tc>
        <w:tc>
          <w:tcPr>
            <w:tcW w:w="197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50,4±1,25º*</w:t>
            </w:r>
          </w:p>
        </w:tc>
        <w:tc>
          <w:tcPr>
            <w:tcW w:w="191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133±3,24º*</w:t>
            </w:r>
          </w:p>
        </w:tc>
      </w:tr>
      <w:tr w:rsidR="001F0A71" w:rsidRPr="006F4F52" w:rsidTr="00BB6F54">
        <w:trPr>
          <w:trHeight w:val="270"/>
          <w:jc w:val="center"/>
        </w:trPr>
        <w:tc>
          <w:tcPr>
            <w:tcW w:w="3585" w:type="dxa"/>
            <w:vMerge w:val="restart"/>
            <w:vAlign w:val="center"/>
          </w:tcPr>
          <w:p w:rsidR="001F0A71" w:rsidRPr="006F4F52" w:rsidRDefault="001F0A71" w:rsidP="00086591">
            <w:pPr>
              <w:widowControl w:val="0"/>
              <w:spacing w:before="60" w:after="60" w:line="240" w:lineRule="auto"/>
              <w:rPr>
                <w:rFonts w:ascii="Times New Roman" w:hAnsi="Times New Roman"/>
                <w:sz w:val="28"/>
                <w:szCs w:val="28"/>
                <w:lang w:val="uk-UA"/>
              </w:rPr>
            </w:pPr>
            <w:r w:rsidRPr="006F4F52">
              <w:rPr>
                <w:rFonts w:ascii="Times New Roman" w:hAnsi="Times New Roman"/>
                <w:sz w:val="28"/>
                <w:szCs w:val="28"/>
                <w:lang w:val="uk-UA"/>
              </w:rPr>
              <w:t>САК + німодипін,30 мкг⁄кг</w:t>
            </w:r>
          </w:p>
        </w:tc>
        <w:tc>
          <w:tcPr>
            <w:tcW w:w="1879"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4</w:t>
            </w:r>
          </w:p>
        </w:tc>
        <w:tc>
          <w:tcPr>
            <w:tcW w:w="197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31,1±1,14º*</w:t>
            </w:r>
            <w:r w:rsidRPr="006F4F52">
              <w:rPr>
                <w:rFonts w:ascii="Times New Roman" w:hAnsi="Times New Roman"/>
                <w:sz w:val="28"/>
                <w:szCs w:val="28"/>
                <w:vertAlign w:val="superscript"/>
                <w:lang w:val="uk-UA"/>
              </w:rPr>
              <w:t>&amp;#α</w:t>
            </w:r>
          </w:p>
        </w:tc>
        <w:tc>
          <w:tcPr>
            <w:tcW w:w="191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148±2,98º*</w:t>
            </w:r>
            <w:r w:rsidRPr="006F4F52">
              <w:rPr>
                <w:rFonts w:ascii="Times New Roman" w:hAnsi="Times New Roman"/>
                <w:sz w:val="28"/>
                <w:szCs w:val="28"/>
                <w:vertAlign w:val="superscript"/>
                <w:lang w:val="uk-UA"/>
              </w:rPr>
              <w:t>&amp;#</w:t>
            </w:r>
          </w:p>
        </w:tc>
      </w:tr>
      <w:tr w:rsidR="001F0A71" w:rsidRPr="006F4F52" w:rsidTr="00BB6F54">
        <w:trPr>
          <w:trHeight w:val="270"/>
          <w:jc w:val="center"/>
        </w:trPr>
        <w:tc>
          <w:tcPr>
            <w:tcW w:w="3585" w:type="dxa"/>
            <w:vMerge/>
            <w:vAlign w:val="center"/>
          </w:tcPr>
          <w:p w:rsidR="001F0A71" w:rsidRPr="006F4F52" w:rsidRDefault="001F0A71" w:rsidP="00086591">
            <w:pPr>
              <w:widowControl w:val="0"/>
              <w:spacing w:before="60" w:after="60" w:line="240" w:lineRule="auto"/>
              <w:rPr>
                <w:rFonts w:ascii="Times New Roman" w:hAnsi="Times New Roman"/>
                <w:sz w:val="28"/>
                <w:szCs w:val="28"/>
                <w:lang w:val="uk-UA"/>
              </w:rPr>
            </w:pPr>
          </w:p>
        </w:tc>
        <w:tc>
          <w:tcPr>
            <w:tcW w:w="1879"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21</w:t>
            </w:r>
          </w:p>
        </w:tc>
        <w:tc>
          <w:tcPr>
            <w:tcW w:w="197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56,2±1,19º*</w:t>
            </w:r>
            <w:r w:rsidRPr="006F4F52">
              <w:rPr>
                <w:rFonts w:ascii="Times New Roman" w:hAnsi="Times New Roman"/>
                <w:sz w:val="28"/>
                <w:szCs w:val="28"/>
                <w:vertAlign w:val="superscript"/>
                <w:lang w:val="uk-UA"/>
              </w:rPr>
              <w:t>&amp;#α</w:t>
            </w:r>
          </w:p>
        </w:tc>
        <w:tc>
          <w:tcPr>
            <w:tcW w:w="191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122±3,17*</w:t>
            </w:r>
            <w:r w:rsidRPr="006F4F52">
              <w:rPr>
                <w:rFonts w:ascii="Times New Roman" w:hAnsi="Times New Roman"/>
                <w:sz w:val="28"/>
                <w:szCs w:val="28"/>
                <w:vertAlign w:val="superscript"/>
                <w:lang w:val="uk-UA"/>
              </w:rPr>
              <w:t>&amp;#α</w:t>
            </w:r>
          </w:p>
        </w:tc>
      </w:tr>
      <w:tr w:rsidR="001F0A71" w:rsidRPr="006F4F52" w:rsidTr="00BB6F54">
        <w:trPr>
          <w:trHeight w:val="270"/>
          <w:jc w:val="center"/>
        </w:trPr>
        <w:tc>
          <w:tcPr>
            <w:tcW w:w="3585" w:type="dxa"/>
            <w:vMerge w:val="restart"/>
            <w:vAlign w:val="center"/>
          </w:tcPr>
          <w:p w:rsidR="001F0A71" w:rsidRPr="006F4F52" w:rsidRDefault="001F0A71" w:rsidP="00086591">
            <w:pPr>
              <w:widowControl w:val="0"/>
              <w:spacing w:before="60" w:after="60" w:line="240" w:lineRule="auto"/>
              <w:rPr>
                <w:rFonts w:ascii="Times New Roman" w:hAnsi="Times New Roman"/>
                <w:sz w:val="28"/>
                <w:szCs w:val="28"/>
                <w:lang w:val="uk-UA"/>
              </w:rPr>
            </w:pPr>
            <w:r w:rsidRPr="006F4F52">
              <w:rPr>
                <w:rFonts w:ascii="Times New Roman" w:hAnsi="Times New Roman"/>
                <w:sz w:val="28"/>
                <w:szCs w:val="28"/>
                <w:lang w:val="uk-UA"/>
              </w:rPr>
              <w:t>САК + амантадину сульфат, 10 мг⁄кг</w:t>
            </w:r>
          </w:p>
        </w:tc>
        <w:tc>
          <w:tcPr>
            <w:tcW w:w="1879"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4</w:t>
            </w:r>
          </w:p>
        </w:tc>
        <w:tc>
          <w:tcPr>
            <w:tcW w:w="197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23,6±1,03º*</w:t>
            </w:r>
          </w:p>
        </w:tc>
        <w:tc>
          <w:tcPr>
            <w:tcW w:w="191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171±3,28º*</w:t>
            </w:r>
          </w:p>
        </w:tc>
      </w:tr>
      <w:tr w:rsidR="001F0A71" w:rsidRPr="006F4F52" w:rsidTr="00BB6F54">
        <w:trPr>
          <w:trHeight w:val="270"/>
          <w:jc w:val="center"/>
        </w:trPr>
        <w:tc>
          <w:tcPr>
            <w:tcW w:w="3585" w:type="dxa"/>
            <w:vMerge/>
            <w:vAlign w:val="center"/>
          </w:tcPr>
          <w:p w:rsidR="001F0A71" w:rsidRPr="006F4F52" w:rsidRDefault="001F0A71" w:rsidP="00086591">
            <w:pPr>
              <w:widowControl w:val="0"/>
              <w:spacing w:before="60" w:after="60" w:line="240" w:lineRule="auto"/>
              <w:rPr>
                <w:rFonts w:ascii="Times New Roman" w:hAnsi="Times New Roman"/>
                <w:sz w:val="28"/>
                <w:szCs w:val="28"/>
                <w:lang w:val="uk-UA"/>
              </w:rPr>
            </w:pPr>
          </w:p>
        </w:tc>
        <w:tc>
          <w:tcPr>
            <w:tcW w:w="1879"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21</w:t>
            </w:r>
          </w:p>
        </w:tc>
        <w:tc>
          <w:tcPr>
            <w:tcW w:w="197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44,6±1,20º*</w:t>
            </w:r>
          </w:p>
        </w:tc>
        <w:tc>
          <w:tcPr>
            <w:tcW w:w="191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146±3,85º*</w:t>
            </w:r>
          </w:p>
        </w:tc>
      </w:tr>
      <w:tr w:rsidR="001F0A71" w:rsidRPr="006F4F52" w:rsidTr="00BB6F54">
        <w:trPr>
          <w:trHeight w:val="563"/>
          <w:jc w:val="center"/>
        </w:trPr>
        <w:tc>
          <w:tcPr>
            <w:tcW w:w="3585" w:type="dxa"/>
            <w:vMerge w:val="restart"/>
            <w:vAlign w:val="center"/>
          </w:tcPr>
          <w:p w:rsidR="001F0A71" w:rsidRPr="006F4F52" w:rsidRDefault="001F0A71" w:rsidP="00086591">
            <w:pPr>
              <w:widowControl w:val="0"/>
              <w:spacing w:before="60" w:after="60" w:line="240" w:lineRule="auto"/>
              <w:rPr>
                <w:rFonts w:ascii="Times New Roman" w:hAnsi="Times New Roman"/>
                <w:sz w:val="28"/>
                <w:szCs w:val="28"/>
                <w:lang w:val="uk-UA"/>
              </w:rPr>
            </w:pPr>
            <w:r w:rsidRPr="006F4F52">
              <w:rPr>
                <w:rFonts w:ascii="Times New Roman" w:hAnsi="Times New Roman"/>
                <w:sz w:val="28"/>
                <w:szCs w:val="28"/>
                <w:lang w:val="uk-UA"/>
              </w:rPr>
              <w:t xml:space="preserve">САК + магнію сульфат, </w:t>
            </w:r>
          </w:p>
          <w:p w:rsidR="001F0A71" w:rsidRPr="006F4F52" w:rsidRDefault="001F0A71" w:rsidP="00086591">
            <w:pPr>
              <w:widowControl w:val="0"/>
              <w:spacing w:before="60" w:after="60" w:line="240" w:lineRule="auto"/>
              <w:rPr>
                <w:rFonts w:ascii="Times New Roman" w:hAnsi="Times New Roman"/>
                <w:b/>
                <w:sz w:val="28"/>
                <w:szCs w:val="28"/>
                <w:lang w:val="uk-UA"/>
              </w:rPr>
            </w:pPr>
            <w:r w:rsidRPr="006F4F52">
              <w:rPr>
                <w:rFonts w:ascii="Times New Roman" w:hAnsi="Times New Roman"/>
                <w:sz w:val="28"/>
                <w:szCs w:val="28"/>
                <w:lang w:val="uk-UA"/>
              </w:rPr>
              <w:t>250 мг⁄кг</w:t>
            </w:r>
          </w:p>
        </w:tc>
        <w:tc>
          <w:tcPr>
            <w:tcW w:w="1879"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4</w:t>
            </w:r>
          </w:p>
        </w:tc>
        <w:tc>
          <w:tcPr>
            <w:tcW w:w="197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20,5±1,18º</w:t>
            </w:r>
          </w:p>
        </w:tc>
        <w:tc>
          <w:tcPr>
            <w:tcW w:w="191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178±3,41º</w:t>
            </w:r>
          </w:p>
        </w:tc>
      </w:tr>
      <w:tr w:rsidR="001F0A71" w:rsidRPr="006F4F52" w:rsidTr="00BB6F54">
        <w:trPr>
          <w:trHeight w:val="557"/>
          <w:jc w:val="center"/>
        </w:trPr>
        <w:tc>
          <w:tcPr>
            <w:tcW w:w="3585" w:type="dxa"/>
            <w:vMerge/>
            <w:vAlign w:val="center"/>
          </w:tcPr>
          <w:p w:rsidR="001F0A71" w:rsidRPr="006F4F52" w:rsidRDefault="001F0A71" w:rsidP="00086591">
            <w:pPr>
              <w:widowControl w:val="0"/>
              <w:spacing w:before="60" w:after="60" w:line="240" w:lineRule="auto"/>
              <w:rPr>
                <w:rFonts w:ascii="Times New Roman" w:hAnsi="Times New Roman"/>
                <w:sz w:val="28"/>
                <w:szCs w:val="28"/>
                <w:lang w:val="uk-UA"/>
              </w:rPr>
            </w:pPr>
          </w:p>
        </w:tc>
        <w:tc>
          <w:tcPr>
            <w:tcW w:w="1879"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21</w:t>
            </w:r>
          </w:p>
        </w:tc>
        <w:tc>
          <w:tcPr>
            <w:tcW w:w="197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32,5±1,30º</w:t>
            </w:r>
          </w:p>
        </w:tc>
        <w:tc>
          <w:tcPr>
            <w:tcW w:w="1910" w:type="dxa"/>
            <w:vAlign w:val="center"/>
          </w:tcPr>
          <w:p w:rsidR="001F0A71" w:rsidRPr="006F4F52" w:rsidRDefault="001F0A71" w:rsidP="00086591">
            <w:pPr>
              <w:widowControl w:val="0"/>
              <w:spacing w:before="60" w:after="60" w:line="240" w:lineRule="auto"/>
              <w:jc w:val="center"/>
              <w:rPr>
                <w:rFonts w:ascii="Times New Roman" w:hAnsi="Times New Roman"/>
                <w:sz w:val="28"/>
                <w:szCs w:val="28"/>
                <w:lang w:val="uk-UA"/>
              </w:rPr>
            </w:pPr>
            <w:r w:rsidRPr="006F4F52">
              <w:rPr>
                <w:rFonts w:ascii="Times New Roman" w:hAnsi="Times New Roman"/>
                <w:sz w:val="28"/>
                <w:szCs w:val="28"/>
                <w:lang w:val="uk-UA"/>
              </w:rPr>
              <w:t>160±3,44º</w:t>
            </w:r>
          </w:p>
        </w:tc>
      </w:tr>
    </w:tbl>
    <w:p w:rsidR="001F0A71" w:rsidRPr="0036311A" w:rsidRDefault="001F0A71" w:rsidP="001F0A71">
      <w:pPr>
        <w:widowControl w:val="0"/>
        <w:tabs>
          <w:tab w:val="left" w:pos="1080"/>
        </w:tabs>
        <w:spacing w:after="0" w:line="240" w:lineRule="auto"/>
        <w:ind w:firstLine="284"/>
        <w:jc w:val="both"/>
        <w:rPr>
          <w:rFonts w:ascii="Times New Roman" w:hAnsi="Times New Roman"/>
          <w:sz w:val="28"/>
          <w:szCs w:val="28"/>
          <w:lang w:val="uk-UA"/>
        </w:rPr>
      </w:pPr>
    </w:p>
    <w:p w:rsidR="001F0A71" w:rsidRDefault="001F0A71" w:rsidP="001F0A71">
      <w:pPr>
        <w:widowControl w:val="0"/>
        <w:tabs>
          <w:tab w:val="left" w:pos="1080"/>
        </w:tabs>
        <w:spacing w:after="0" w:line="240" w:lineRule="auto"/>
        <w:ind w:firstLine="284"/>
        <w:jc w:val="both"/>
        <w:rPr>
          <w:rFonts w:ascii="Times New Roman" w:hAnsi="Times New Roman"/>
          <w:sz w:val="28"/>
          <w:szCs w:val="28"/>
          <w:lang w:val="uk-UA"/>
        </w:rPr>
      </w:pPr>
      <w:r w:rsidRPr="006F4F52">
        <w:rPr>
          <w:rFonts w:ascii="Times New Roman" w:hAnsi="Times New Roman"/>
          <w:sz w:val="28"/>
          <w:szCs w:val="28"/>
          <w:lang w:val="uk-UA"/>
        </w:rPr>
        <w:t>Примітки:</w:t>
      </w:r>
    </w:p>
    <w:p w:rsidR="001F0A71" w:rsidRPr="006F4F52" w:rsidRDefault="001F0A71" w:rsidP="001F0A71">
      <w:pPr>
        <w:widowControl w:val="0"/>
        <w:numPr>
          <w:ilvl w:val="0"/>
          <w:numId w:val="29"/>
        </w:numPr>
        <w:tabs>
          <w:tab w:val="left" w:pos="928"/>
          <w:tab w:val="left" w:pos="1701"/>
        </w:tabs>
        <w:spacing w:after="0" w:line="360" w:lineRule="auto"/>
        <w:ind w:left="567" w:firstLine="0"/>
        <w:jc w:val="both"/>
        <w:rPr>
          <w:rFonts w:ascii="Times New Roman" w:hAnsi="Times New Roman"/>
          <w:sz w:val="28"/>
          <w:szCs w:val="28"/>
          <w:lang w:val="uk-UA"/>
        </w:rPr>
      </w:pPr>
      <w:r w:rsidRPr="006F4F52">
        <w:rPr>
          <w:rFonts w:ascii="Times New Roman" w:hAnsi="Times New Roman"/>
          <w:sz w:val="28"/>
          <w:szCs w:val="28"/>
          <w:lang w:val="uk-UA"/>
        </w:rPr>
        <w:t>º – р&lt;0,05 відносно псевдооперованих тварин;</w:t>
      </w:r>
    </w:p>
    <w:p w:rsidR="001F0A71" w:rsidRPr="006F4F52" w:rsidRDefault="001F0A71" w:rsidP="001F0A71">
      <w:pPr>
        <w:pStyle w:val="a5"/>
        <w:widowControl w:val="0"/>
        <w:numPr>
          <w:ilvl w:val="0"/>
          <w:numId w:val="29"/>
        </w:numPr>
        <w:tabs>
          <w:tab w:val="left" w:pos="928"/>
        </w:tabs>
        <w:spacing w:after="0" w:line="360" w:lineRule="auto"/>
        <w:ind w:left="567" w:firstLine="0"/>
        <w:jc w:val="both"/>
        <w:rPr>
          <w:rFonts w:ascii="Times New Roman" w:hAnsi="Times New Roman"/>
          <w:sz w:val="28"/>
          <w:szCs w:val="28"/>
          <w:lang w:val="uk-UA"/>
        </w:rPr>
      </w:pPr>
      <w:r w:rsidRPr="006F4F52">
        <w:rPr>
          <w:rFonts w:ascii="Times New Roman" w:hAnsi="Times New Roman"/>
          <w:sz w:val="28"/>
          <w:szCs w:val="28"/>
          <w:lang w:val="uk-UA"/>
        </w:rPr>
        <w:t>* – р&lt;0,05 відносно контрольної патології;</w:t>
      </w:r>
    </w:p>
    <w:p w:rsidR="001F0A71" w:rsidRPr="006F4F52" w:rsidRDefault="001F0A71" w:rsidP="001F0A71">
      <w:pPr>
        <w:pStyle w:val="a5"/>
        <w:widowControl w:val="0"/>
        <w:numPr>
          <w:ilvl w:val="0"/>
          <w:numId w:val="29"/>
        </w:numPr>
        <w:tabs>
          <w:tab w:val="left" w:pos="928"/>
        </w:tabs>
        <w:spacing w:after="0" w:line="360" w:lineRule="auto"/>
        <w:ind w:left="567" w:firstLine="0"/>
        <w:jc w:val="both"/>
        <w:rPr>
          <w:rFonts w:ascii="Times New Roman" w:hAnsi="Times New Roman"/>
          <w:sz w:val="28"/>
          <w:szCs w:val="28"/>
          <w:lang w:val="uk-UA"/>
        </w:rPr>
      </w:pPr>
      <w:r w:rsidRPr="006F4F52">
        <w:rPr>
          <w:rFonts w:ascii="Times New Roman" w:hAnsi="Times New Roman"/>
          <w:sz w:val="28"/>
          <w:szCs w:val="28"/>
          <w:vertAlign w:val="superscript"/>
          <w:lang w:val="uk-UA"/>
        </w:rPr>
        <w:t xml:space="preserve"># </w:t>
      </w:r>
      <w:r w:rsidRPr="006F4F52">
        <w:rPr>
          <w:rFonts w:ascii="Times New Roman" w:hAnsi="Times New Roman"/>
          <w:sz w:val="28"/>
          <w:szCs w:val="28"/>
          <w:lang w:val="uk-UA"/>
        </w:rPr>
        <w:t>– р&lt;0,05 у відповідні строки між адемолом та магнезією</w:t>
      </w:r>
    </w:p>
    <w:p w:rsidR="001F0A71" w:rsidRPr="006F4F52" w:rsidRDefault="001F0A71" w:rsidP="001F0A71">
      <w:pPr>
        <w:pStyle w:val="a5"/>
        <w:widowControl w:val="0"/>
        <w:numPr>
          <w:ilvl w:val="0"/>
          <w:numId w:val="29"/>
        </w:numPr>
        <w:tabs>
          <w:tab w:val="left" w:pos="928"/>
        </w:tabs>
        <w:spacing w:after="0" w:line="360" w:lineRule="auto"/>
        <w:ind w:left="567" w:firstLine="0"/>
        <w:jc w:val="both"/>
        <w:rPr>
          <w:rFonts w:ascii="Times New Roman" w:hAnsi="Times New Roman"/>
          <w:sz w:val="28"/>
          <w:szCs w:val="28"/>
          <w:lang w:val="uk-UA"/>
        </w:rPr>
      </w:pPr>
      <w:r w:rsidRPr="006F4F52">
        <w:rPr>
          <w:rFonts w:ascii="Times New Roman" w:hAnsi="Times New Roman"/>
          <w:sz w:val="28"/>
          <w:szCs w:val="28"/>
          <w:vertAlign w:val="superscript"/>
          <w:lang w:val="uk-UA"/>
        </w:rPr>
        <w:t>&amp;</w:t>
      </w:r>
      <w:r w:rsidRPr="006F4F52">
        <w:rPr>
          <w:rFonts w:ascii="Times New Roman" w:hAnsi="Times New Roman"/>
          <w:sz w:val="28"/>
          <w:szCs w:val="28"/>
          <w:lang w:val="uk-UA"/>
        </w:rPr>
        <w:t xml:space="preserve">– р&lt;0,05 у відповідні строки між адемолом та амантадином сульфатом; </w:t>
      </w:r>
    </w:p>
    <w:p w:rsidR="001F0A71" w:rsidRPr="006F4F52" w:rsidRDefault="001F0A71" w:rsidP="001F0A71">
      <w:pPr>
        <w:pStyle w:val="a5"/>
        <w:widowControl w:val="0"/>
        <w:numPr>
          <w:ilvl w:val="0"/>
          <w:numId w:val="29"/>
        </w:numPr>
        <w:tabs>
          <w:tab w:val="left" w:pos="928"/>
        </w:tabs>
        <w:spacing w:after="0" w:line="360" w:lineRule="auto"/>
        <w:ind w:left="567" w:firstLine="0"/>
        <w:jc w:val="both"/>
        <w:rPr>
          <w:rFonts w:ascii="Times New Roman" w:hAnsi="Times New Roman"/>
          <w:sz w:val="28"/>
          <w:szCs w:val="28"/>
          <w:lang w:val="uk-UA"/>
        </w:rPr>
      </w:pPr>
      <w:r w:rsidRPr="006F4F52">
        <w:rPr>
          <w:rFonts w:ascii="Times New Roman" w:hAnsi="Times New Roman"/>
          <w:sz w:val="28"/>
          <w:szCs w:val="28"/>
          <w:vertAlign w:val="superscript"/>
          <w:lang w:val="uk-UA"/>
        </w:rPr>
        <w:t xml:space="preserve">α </w:t>
      </w:r>
      <w:r w:rsidRPr="006F4F52">
        <w:rPr>
          <w:rFonts w:ascii="Times New Roman" w:hAnsi="Times New Roman"/>
          <w:sz w:val="28"/>
          <w:szCs w:val="28"/>
          <w:lang w:val="uk-UA"/>
        </w:rPr>
        <w:t>– р&lt;0,05 у відповідні строки між адемолом та німодипіном.</w:t>
      </w:r>
    </w:p>
    <w:p w:rsidR="00086591" w:rsidRDefault="00086591" w:rsidP="00086591">
      <w:pPr>
        <w:widowControl w:val="0"/>
        <w:tabs>
          <w:tab w:val="left" w:pos="928"/>
        </w:tabs>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lastRenderedPageBreak/>
        <w:t>Так, максимальну здатність зменшувати дисбаланс в системі L-аргінін / NO було зафіксовано у адемолу (викликав збільшення вмісту аргініну та зменшення активності NO-синтази порівняноі з контрольною патологією в середньому відповідно на 86,7 та 27,4 %,). Відносно тварин групи контрольної патології німодипін показав достовірно менший ефект, оскільки на тлі його введення в організм тварин із САК</w:t>
      </w:r>
      <w:r>
        <w:rPr>
          <w:rFonts w:ascii="Times New Roman" w:hAnsi="Times New Roman"/>
          <w:sz w:val="28"/>
          <w:szCs w:val="28"/>
          <w:lang w:val="uk-UA"/>
        </w:rPr>
        <w:t xml:space="preserve"> зміна рівні</w:t>
      </w:r>
      <w:r w:rsidRPr="00F42677">
        <w:rPr>
          <w:rFonts w:ascii="Times New Roman" w:hAnsi="Times New Roman"/>
          <w:sz w:val="28"/>
          <w:szCs w:val="28"/>
          <w:lang w:val="uk-UA"/>
        </w:rPr>
        <w:t>в та активності вказаних показників була в межах 67,4 та 20,8 %.</w:t>
      </w:r>
    </w:p>
    <w:p w:rsidR="001F0A71" w:rsidRPr="00020D33" w:rsidRDefault="001F0A71" w:rsidP="00020D33">
      <w:pPr>
        <w:widowControl w:val="0"/>
        <w:tabs>
          <w:tab w:val="left" w:pos="928"/>
        </w:tabs>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Останньому поступався амантадину сульфат, який викликав збільшення вмісту аргініну в середньому на 41,0%, а зниження активності NO-синтази відповідно на 11,0 %. За цих умов найменшу здатність коригувати зміни в системі синтезу нітроген монооксиду</w:t>
      </w:r>
      <w:r>
        <w:rPr>
          <w:rFonts w:ascii="Times New Roman" w:hAnsi="Times New Roman"/>
          <w:sz w:val="28"/>
          <w:szCs w:val="28"/>
          <w:lang w:val="uk-UA"/>
        </w:rPr>
        <w:t xml:space="preserve"> (</w:t>
      </w:r>
      <w:r w:rsidRPr="00D2510B">
        <w:rPr>
          <w:rFonts w:ascii="Times New Roman" w:hAnsi="Times New Roman"/>
          <w:sz w:val="28"/>
          <w:szCs w:val="28"/>
          <w:lang w:val="uk-UA"/>
        </w:rPr>
        <w:t>NО</w:t>
      </w:r>
      <w:r>
        <w:rPr>
          <w:rFonts w:ascii="Times New Roman" w:hAnsi="Times New Roman"/>
          <w:sz w:val="28"/>
          <w:szCs w:val="28"/>
          <w:lang w:val="uk-UA"/>
        </w:rPr>
        <w:t>)</w:t>
      </w:r>
      <w:r w:rsidRPr="00F42677">
        <w:rPr>
          <w:rFonts w:ascii="Times New Roman" w:hAnsi="Times New Roman"/>
          <w:sz w:val="28"/>
          <w:szCs w:val="28"/>
          <w:lang w:val="uk-UA"/>
        </w:rPr>
        <w:t xml:space="preserve"> виявляв розчин магнію сульфату.</w:t>
      </w:r>
    </w:p>
    <w:p w:rsidR="001F0A71" w:rsidRPr="001F0A71" w:rsidRDefault="001F0A71" w:rsidP="001F0A71">
      <w:pPr>
        <w:pStyle w:val="2"/>
        <w:spacing w:line="360" w:lineRule="auto"/>
        <w:ind w:firstLine="284"/>
        <w:jc w:val="both"/>
        <w:rPr>
          <w:rFonts w:ascii="Times New Roman" w:hAnsi="Times New Roman" w:cs="Times New Roman"/>
          <w:color w:val="auto"/>
          <w:sz w:val="28"/>
          <w:szCs w:val="28"/>
          <w:lang w:val="uk-UA"/>
        </w:rPr>
      </w:pPr>
      <w:r w:rsidRPr="001F0A71">
        <w:rPr>
          <w:rFonts w:ascii="Times New Roman" w:hAnsi="Times New Roman" w:cs="Times New Roman"/>
          <w:color w:val="auto"/>
          <w:sz w:val="28"/>
          <w:szCs w:val="28"/>
          <w:lang w:val="uk-UA"/>
        </w:rPr>
        <w:t xml:space="preserve">6.3 Вплив адемолу та референс-препаратів на формування глутаматної та стероїдної нейротоксичності у щурів із внутрішньомозковим крововиливом </w:t>
      </w:r>
    </w:p>
    <w:p w:rsidR="001F0A71" w:rsidRPr="00942EB6" w:rsidRDefault="001F0A71" w:rsidP="001F0A71">
      <w:pPr>
        <w:spacing w:after="0" w:line="360" w:lineRule="auto"/>
        <w:ind w:firstLine="284"/>
        <w:jc w:val="both"/>
        <w:rPr>
          <w:rFonts w:ascii="Times New Roman" w:hAnsi="Times New Roman"/>
          <w:sz w:val="28"/>
          <w:szCs w:val="28"/>
          <w:lang w:val="uk-UA"/>
        </w:rPr>
      </w:pPr>
      <w:r w:rsidRPr="001F0A71">
        <w:rPr>
          <w:rFonts w:ascii="Times New Roman" w:hAnsi="Times New Roman"/>
          <w:sz w:val="28"/>
          <w:szCs w:val="28"/>
          <w:lang w:val="uk-UA"/>
        </w:rPr>
        <w:t xml:space="preserve">Серед патобіохімічних складових при геморагічному ураженні </w:t>
      </w:r>
      <w:r w:rsidRPr="00942EB6">
        <w:rPr>
          <w:rFonts w:ascii="Times New Roman" w:hAnsi="Times New Roman"/>
          <w:sz w:val="28"/>
          <w:szCs w:val="28"/>
          <w:lang w:val="uk-UA"/>
        </w:rPr>
        <w:t>головного мозку, поряд із кисневим дефіцитом, недостатньою оксигенацією нейронів, активацією анаеробного шляху утилізації глюкози, енергодефіцитом, порушенням кислотно-</w:t>
      </w:r>
      <w:r>
        <w:rPr>
          <w:rFonts w:ascii="Times New Roman" w:hAnsi="Times New Roman"/>
          <w:sz w:val="28"/>
          <w:szCs w:val="28"/>
          <w:lang w:val="uk-UA"/>
        </w:rPr>
        <w:t>л</w:t>
      </w:r>
      <w:r w:rsidRPr="00942EB6">
        <w:rPr>
          <w:rFonts w:ascii="Times New Roman" w:hAnsi="Times New Roman"/>
          <w:sz w:val="28"/>
          <w:szCs w:val="28"/>
          <w:lang w:val="uk-UA"/>
        </w:rPr>
        <w:t>ужної рівноваги, окиснювального та нітрозативного стресу та апоптозом, чільне місце належить глутаматнійексайтотоксичності. За фізіологічних умов глутамат виступає як один із основни</w:t>
      </w:r>
      <w:r w:rsidR="00897978">
        <w:rPr>
          <w:rFonts w:ascii="Times New Roman" w:hAnsi="Times New Roman"/>
          <w:sz w:val="28"/>
          <w:szCs w:val="28"/>
          <w:lang w:val="uk-UA"/>
        </w:rPr>
        <w:t>х збуджуючих нейротрансміттерів</w:t>
      </w:r>
      <w:r w:rsidRPr="00942EB6">
        <w:rPr>
          <w:rFonts w:ascii="Times New Roman" w:hAnsi="Times New Roman"/>
          <w:sz w:val="28"/>
          <w:szCs w:val="28"/>
          <w:lang w:val="uk-UA"/>
        </w:rPr>
        <w:t xml:space="preserve"> ЦНС, контролює клітинні та синаптичні функції, загибель клітин і виживаність, рухові функції, навчання та пам’ять. В той же час при ураженнях головного мозку, глутамат перетворюється на потужний нейротоксин, який викликає пошукодження та загибель нейронів і гліальних клітин. Неконтрольоване вивільнення глутамату супроводжеється надмірною стимуляцією глутаматних рецепторів, зокрема, іонотропних</w:t>
      </w:r>
      <w:r w:rsidRPr="00942EB6">
        <w:rPr>
          <w:rFonts w:ascii="Times New Roman" w:hAnsi="Times New Roman"/>
          <w:sz w:val="28"/>
          <w:szCs w:val="28"/>
        </w:rPr>
        <w:t>NMDA</w:t>
      </w:r>
      <w:r w:rsidRPr="00942EB6">
        <w:rPr>
          <w:rFonts w:ascii="Times New Roman" w:hAnsi="Times New Roman"/>
          <w:sz w:val="28"/>
          <w:szCs w:val="28"/>
          <w:lang w:val="uk-UA"/>
        </w:rPr>
        <w:t xml:space="preserve">-рецепторів тіл нейронів, що призводить до перевантаження </w:t>
      </w:r>
      <w:r>
        <w:rPr>
          <w:rFonts w:ascii="Times New Roman" w:hAnsi="Times New Roman"/>
          <w:sz w:val="28"/>
          <w:szCs w:val="28"/>
          <w:lang w:val="uk-UA"/>
        </w:rPr>
        <w:t xml:space="preserve">останніх </w:t>
      </w:r>
      <w:r w:rsidRPr="00942EB6">
        <w:rPr>
          <w:rFonts w:ascii="Times New Roman" w:hAnsi="Times New Roman"/>
          <w:sz w:val="28"/>
          <w:szCs w:val="28"/>
          <w:lang w:val="uk-UA"/>
        </w:rPr>
        <w:t xml:space="preserve">іонами Са2+ і </w:t>
      </w:r>
      <w:r w:rsidRPr="00942EB6">
        <w:rPr>
          <w:rFonts w:ascii="Times New Roman" w:hAnsi="Times New Roman"/>
          <w:sz w:val="28"/>
          <w:szCs w:val="28"/>
        </w:rPr>
        <w:t>Na</w:t>
      </w:r>
      <w:r>
        <w:rPr>
          <w:rFonts w:ascii="Times New Roman" w:hAnsi="Times New Roman"/>
          <w:sz w:val="28"/>
          <w:szCs w:val="28"/>
          <w:lang w:val="uk-UA"/>
        </w:rPr>
        <w:t>+</w:t>
      </w:r>
      <w:r w:rsidRPr="00942EB6">
        <w:rPr>
          <w:rFonts w:ascii="Times New Roman" w:hAnsi="Times New Roman"/>
          <w:sz w:val="28"/>
          <w:szCs w:val="28"/>
          <w:lang w:val="uk-UA"/>
        </w:rPr>
        <w:t xml:space="preserve">, порушенню сигнальних, метаболічних та енергетичних процесів, і як наслідок, збільшенню зони ушкодження мозку внаслідок відтермінованої загибелі </w:t>
      </w:r>
      <w:r w:rsidRPr="00AD4FE3">
        <w:rPr>
          <w:rFonts w:ascii="Times New Roman" w:hAnsi="Times New Roman"/>
          <w:sz w:val="28"/>
          <w:szCs w:val="28"/>
          <w:lang w:val="uk-UA"/>
        </w:rPr>
        <w:t>нейронів [5,162].</w:t>
      </w:r>
    </w:p>
    <w:p w:rsidR="001F0A71" w:rsidRDefault="001F0A71" w:rsidP="001F0A71">
      <w:pPr>
        <w:spacing w:after="0" w:line="360" w:lineRule="auto"/>
        <w:ind w:firstLine="284"/>
        <w:jc w:val="both"/>
        <w:rPr>
          <w:rFonts w:ascii="Times New Roman" w:hAnsi="Times New Roman"/>
          <w:sz w:val="28"/>
          <w:szCs w:val="28"/>
          <w:lang w:val="uk-UA"/>
        </w:rPr>
      </w:pPr>
      <w:r>
        <w:rPr>
          <w:rFonts w:ascii="Times New Roman" w:hAnsi="Times New Roman"/>
          <w:sz w:val="28"/>
          <w:szCs w:val="28"/>
          <w:lang w:val="uk-UA"/>
        </w:rPr>
        <w:t>Як показали результати наших досліджень, рівень глутамату в мозку псевдооперованих щурів становив 12,82±0,30 нмоль/</w:t>
      </w:r>
      <w:r w:rsidRPr="00923D42">
        <w:rPr>
          <w:rFonts w:ascii="Times New Roman" w:hAnsi="Times New Roman"/>
          <w:sz w:val="28"/>
          <w:szCs w:val="28"/>
          <w:lang w:val="uk-UA"/>
        </w:rPr>
        <w:t>мг (рис. 6.1).</w:t>
      </w:r>
    </w:p>
    <w:p w:rsidR="00086591" w:rsidRPr="007836C8" w:rsidRDefault="00086591" w:rsidP="007836C8">
      <w:pPr>
        <w:spacing w:after="0" w:line="360" w:lineRule="auto"/>
        <w:ind w:firstLine="284"/>
        <w:jc w:val="both"/>
        <w:rPr>
          <w:rFonts w:ascii="Times New Roman" w:hAnsi="Times New Roman"/>
          <w:sz w:val="16"/>
          <w:szCs w:val="16"/>
          <w:lang w:val="uk-UA"/>
        </w:rPr>
      </w:pPr>
    </w:p>
    <w:p w:rsidR="001F0A71" w:rsidRDefault="001F0A71" w:rsidP="007836C8">
      <w:pPr>
        <w:spacing w:after="0" w:line="360" w:lineRule="auto"/>
        <w:ind w:firstLine="284"/>
        <w:jc w:val="center"/>
        <w:rPr>
          <w:rFonts w:ascii="Times New Roman" w:hAnsi="Times New Roman"/>
          <w:sz w:val="28"/>
          <w:szCs w:val="28"/>
          <w:lang w:val="uk-UA"/>
        </w:rPr>
      </w:pPr>
      <w:r w:rsidRPr="00D65134">
        <w:rPr>
          <w:rFonts w:ascii="Times New Roman" w:hAnsi="Times New Roman"/>
          <w:b/>
          <w:noProof/>
          <w:sz w:val="24"/>
        </w:rPr>
        <w:drawing>
          <wp:inline distT="0" distB="0" distL="0" distR="0">
            <wp:extent cx="5958263" cy="3823855"/>
            <wp:effectExtent l="0" t="0" r="4445" b="571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F0A71" w:rsidRDefault="001F0A71" w:rsidP="007836C8">
      <w:pPr>
        <w:pStyle w:val="11"/>
        <w:ind w:left="0" w:firstLine="284"/>
        <w:jc w:val="both"/>
        <w:rPr>
          <w:sz w:val="28"/>
          <w:szCs w:val="28"/>
          <w:lang w:val="uk-UA"/>
        </w:rPr>
      </w:pPr>
      <w:r>
        <w:rPr>
          <w:sz w:val="28"/>
          <w:szCs w:val="28"/>
          <w:lang w:val="uk-UA"/>
        </w:rPr>
        <w:t xml:space="preserve">Рис. 6.1. Вплив адемолу та препаратів порівняння на рівень глутамату в головному мозку щурів з моделлю внутрішньомозкового крововиливу (n=7, </w:t>
      </w:r>
      <w:r>
        <w:rPr>
          <w:sz w:val="28"/>
          <w:szCs w:val="28"/>
          <w:lang w:val="en-US"/>
        </w:rPr>
        <w:t>M</w:t>
      </w:r>
      <w:r>
        <w:rPr>
          <w:sz w:val="28"/>
          <w:szCs w:val="28"/>
          <w:lang w:val="uk-UA"/>
        </w:rPr>
        <w:t>±</w:t>
      </w:r>
      <w:r>
        <w:rPr>
          <w:sz w:val="28"/>
          <w:szCs w:val="28"/>
          <w:lang w:val="en-US"/>
        </w:rPr>
        <w:t>m</w:t>
      </w:r>
      <w:r>
        <w:rPr>
          <w:sz w:val="28"/>
          <w:szCs w:val="28"/>
          <w:lang w:val="uk-UA"/>
        </w:rPr>
        <w:t xml:space="preserve">). Достовірність відмінностей щодо групи псевдооперовані - </w:t>
      </w:r>
      <w:r>
        <w:rPr>
          <w:sz w:val="28"/>
          <w:szCs w:val="28"/>
          <w:vertAlign w:val="superscript"/>
          <w:lang w:val="uk-UA"/>
        </w:rPr>
        <w:t>*</w:t>
      </w:r>
      <w:r>
        <w:rPr>
          <w:sz w:val="28"/>
          <w:szCs w:val="28"/>
          <w:lang w:val="uk-UA"/>
        </w:rPr>
        <w:t xml:space="preserve"> (р&lt;0,05); ВМК+0,9% NaC</w:t>
      </w:r>
      <w:r>
        <w:rPr>
          <w:sz w:val="28"/>
          <w:szCs w:val="28"/>
          <w:lang w:val="en-US"/>
        </w:rPr>
        <w:t>l</w:t>
      </w:r>
      <w:r>
        <w:rPr>
          <w:sz w:val="28"/>
          <w:szCs w:val="28"/>
          <w:lang w:val="uk-UA"/>
        </w:rPr>
        <w:t xml:space="preserve"> - </w:t>
      </w:r>
      <w:r>
        <w:rPr>
          <w:sz w:val="28"/>
          <w:szCs w:val="28"/>
          <w:vertAlign w:val="superscript"/>
          <w:lang w:val="uk-UA"/>
        </w:rPr>
        <w:t>#</w:t>
      </w:r>
      <w:r>
        <w:rPr>
          <w:sz w:val="28"/>
          <w:szCs w:val="28"/>
          <w:lang w:val="uk-UA"/>
        </w:rPr>
        <w:t xml:space="preserve"> (р&lt;0,05)</w:t>
      </w:r>
    </w:p>
    <w:p w:rsidR="001F0A71" w:rsidRPr="00E1086D" w:rsidRDefault="001F0A71" w:rsidP="001F0A71">
      <w:pPr>
        <w:spacing w:after="0" w:line="360" w:lineRule="auto"/>
        <w:ind w:firstLine="284"/>
        <w:jc w:val="both"/>
        <w:rPr>
          <w:rFonts w:ascii="Times New Roman" w:hAnsi="Times New Roman"/>
          <w:sz w:val="28"/>
          <w:szCs w:val="28"/>
          <w:lang w:val="uk-UA"/>
        </w:rPr>
      </w:pPr>
    </w:p>
    <w:p w:rsidR="00E1086D" w:rsidRDefault="00E1086D" w:rsidP="00E1086D">
      <w:pPr>
        <w:spacing w:after="0" w:line="360" w:lineRule="auto"/>
        <w:ind w:firstLine="284"/>
        <w:jc w:val="both"/>
        <w:rPr>
          <w:rFonts w:ascii="Times New Roman" w:hAnsi="Times New Roman"/>
          <w:sz w:val="28"/>
          <w:szCs w:val="28"/>
          <w:lang w:val="uk-UA"/>
        </w:rPr>
      </w:pPr>
      <w:r>
        <w:rPr>
          <w:rFonts w:ascii="Times New Roman" w:hAnsi="Times New Roman"/>
          <w:sz w:val="28"/>
          <w:szCs w:val="28"/>
          <w:lang w:val="uk-UA"/>
        </w:rPr>
        <w:t xml:space="preserve">На тлі гострого ВМК вміст глутамату підвищився в 2,45 рази відносно псевдооперованих щурів і склав 31,5±0,59 нмоль/мг протеїну. </w:t>
      </w:r>
    </w:p>
    <w:p w:rsidR="00E1086D" w:rsidRDefault="00E1086D" w:rsidP="00E1086D">
      <w:pPr>
        <w:spacing w:after="0" w:line="360" w:lineRule="auto"/>
        <w:ind w:firstLine="284"/>
        <w:jc w:val="both"/>
        <w:rPr>
          <w:rFonts w:ascii="Times New Roman" w:hAnsi="Times New Roman"/>
          <w:sz w:val="28"/>
          <w:szCs w:val="28"/>
          <w:lang w:val="uk-UA"/>
        </w:rPr>
      </w:pPr>
      <w:r>
        <w:rPr>
          <w:rFonts w:ascii="Times New Roman" w:hAnsi="Times New Roman"/>
          <w:sz w:val="28"/>
          <w:szCs w:val="28"/>
          <w:lang w:val="uk-UA"/>
        </w:rPr>
        <w:t>Всі застосовані лікарські засоби запобігали стрімкому зростанню рівня глутамату в головному мозку щурів з ВМК, проте їх антиексайтотоксична активність була виражена в різній мірі. В групі тварин, які отримували адемол, рівень глутамату в мозку щурів з ВМК був найнижчим і становив 16,3±0,32нмоль/мг протеїну, що в 1,93 рази менше, ніж у тварин контрольної патології.На тлі дії німодипінуантиексайтотксична дія була незначно більшою, ніж у адемолу (рівень глутамату становив 14,75±0,27 нмоль/мг протеїну), однак відмінності між німодипіном та адемолом не сягали статистично вірогідних значеньАмантадину та магнію сульфат в меншій мірі попереджали збільшення глутамату в головному мозку щурів з ВМК: цей показник склав, відповідно, 17,7±0,39 та 22,0±0,42 нмоль/мг протеїну.</w:t>
      </w:r>
    </w:p>
    <w:p w:rsidR="00E1086D" w:rsidRDefault="00E1086D" w:rsidP="001F0A71">
      <w:pPr>
        <w:spacing w:after="0" w:line="360" w:lineRule="auto"/>
        <w:ind w:firstLine="284"/>
        <w:jc w:val="both"/>
        <w:rPr>
          <w:rFonts w:ascii="Times New Roman" w:hAnsi="Times New Roman"/>
          <w:sz w:val="28"/>
          <w:szCs w:val="28"/>
          <w:lang w:val="uk-UA"/>
        </w:rPr>
      </w:pPr>
    </w:p>
    <w:p w:rsidR="001F0A71" w:rsidRDefault="001F0A71" w:rsidP="001F0A71">
      <w:pPr>
        <w:spacing w:after="0" w:line="360" w:lineRule="auto"/>
        <w:ind w:firstLine="284"/>
        <w:jc w:val="both"/>
        <w:rPr>
          <w:rFonts w:ascii="Times New Roman" w:hAnsi="Times New Roman"/>
          <w:sz w:val="28"/>
          <w:szCs w:val="28"/>
          <w:lang w:val="uk-UA"/>
        </w:rPr>
      </w:pPr>
      <w:r>
        <w:rPr>
          <w:rFonts w:ascii="Times New Roman" w:hAnsi="Times New Roman"/>
          <w:sz w:val="28"/>
          <w:szCs w:val="28"/>
          <w:lang w:val="uk-UA"/>
        </w:rPr>
        <w:t>Отже, за антиексайтотоксичним ефектом при ВМК адемол в дозі 2 мг/кг в/в та німодипін і амантадину сульфат виявились співставними, а магнію сульфат їм статистично (</w:t>
      </w:r>
      <w:r>
        <w:rPr>
          <w:rFonts w:ascii="Times New Roman" w:hAnsi="Times New Roman"/>
          <w:sz w:val="28"/>
          <w:szCs w:val="28"/>
          <w:lang w:val="en-US"/>
        </w:rPr>
        <w:t>p</w:t>
      </w:r>
      <w:r w:rsidRPr="00416456">
        <w:rPr>
          <w:rFonts w:ascii="Times New Roman" w:hAnsi="Times New Roman"/>
          <w:sz w:val="28"/>
          <w:szCs w:val="28"/>
          <w:lang w:val="uk-UA"/>
        </w:rPr>
        <w:t>&lt;0</w:t>
      </w:r>
      <w:r>
        <w:rPr>
          <w:rFonts w:ascii="Times New Roman" w:hAnsi="Times New Roman"/>
          <w:sz w:val="28"/>
          <w:szCs w:val="28"/>
          <w:lang w:val="uk-UA"/>
        </w:rPr>
        <w:t>,</w:t>
      </w:r>
      <w:r w:rsidRPr="00416456">
        <w:rPr>
          <w:rFonts w:ascii="Times New Roman" w:hAnsi="Times New Roman"/>
          <w:sz w:val="28"/>
          <w:szCs w:val="28"/>
          <w:lang w:val="uk-UA"/>
        </w:rPr>
        <w:t xml:space="preserve">05) </w:t>
      </w:r>
      <w:r>
        <w:rPr>
          <w:rFonts w:ascii="Times New Roman" w:hAnsi="Times New Roman"/>
          <w:sz w:val="28"/>
          <w:szCs w:val="28"/>
          <w:lang w:val="uk-UA"/>
        </w:rPr>
        <w:t>поступався.</w:t>
      </w:r>
    </w:p>
    <w:p w:rsidR="001F0A71" w:rsidRPr="00F42677" w:rsidRDefault="001F0A71" w:rsidP="001F0A71">
      <w:pPr>
        <w:widowControl w:val="0"/>
        <w:spacing w:after="0" w:line="360" w:lineRule="auto"/>
        <w:ind w:firstLine="284"/>
        <w:jc w:val="both"/>
        <w:rPr>
          <w:rStyle w:val="hps"/>
          <w:rFonts w:ascii="Times New Roman" w:hAnsi="Times New Roman"/>
          <w:sz w:val="28"/>
          <w:szCs w:val="28"/>
          <w:lang w:val="uk-UA"/>
        </w:rPr>
      </w:pPr>
      <w:r w:rsidRPr="00F42677">
        <w:rPr>
          <w:rStyle w:val="hps"/>
          <w:rFonts w:ascii="Times New Roman" w:hAnsi="Times New Roman"/>
          <w:sz w:val="28"/>
          <w:szCs w:val="28"/>
          <w:lang w:val="uk-UA"/>
        </w:rPr>
        <w:t xml:space="preserve">Інсульт, особливо важкого ступеня тяжкості, який перебігає із порушенням вітальних функцій організму, являє собою один потужний стресогенний чинник із активацією симпато-адреналової, гіпоталамо-гіпофізарної та нейроендокринної системи. На початку відновного періоду відбувається максимальна активація наднирників, що маніфестує наростаючі концентрації глюкокортикоїдів у крові. Якщо у найгостріший та гострий період інсульту для стабілізації гемодинаміки, зменшення набряку-набухання головного мозку, корегування церебрального кровоплину, великі гормональні </w:t>
      </w:r>
      <w:r>
        <w:rPr>
          <w:rStyle w:val="hps"/>
          <w:rFonts w:ascii="Times New Roman" w:hAnsi="Times New Roman"/>
          <w:sz w:val="28"/>
          <w:szCs w:val="28"/>
          <w:lang w:val="uk-UA"/>
        </w:rPr>
        <w:t>рівні</w:t>
      </w:r>
      <w:r w:rsidRPr="00F42677">
        <w:rPr>
          <w:rStyle w:val="hps"/>
          <w:rFonts w:ascii="Times New Roman" w:hAnsi="Times New Roman"/>
          <w:sz w:val="28"/>
          <w:szCs w:val="28"/>
          <w:lang w:val="uk-UA"/>
        </w:rPr>
        <w:t xml:space="preserve"> мали гомеостатичний та виключно позитивний вплив то, в подальшому, стан індукований надлишком глюкокортикоїдів (зокрема, імобілізаційний стрес при коматозному стані) трансформується у чинник, який є нейротоксичним для ЦНС. </w:t>
      </w:r>
    </w:p>
    <w:p w:rsidR="001F0A71" w:rsidRDefault="00975852" w:rsidP="001F0A71">
      <w:pPr>
        <w:widowControl w:val="0"/>
        <w:spacing w:after="0" w:line="360" w:lineRule="auto"/>
        <w:ind w:firstLine="284"/>
        <w:jc w:val="both"/>
        <w:rPr>
          <w:rStyle w:val="hps"/>
          <w:rFonts w:ascii="Times New Roman" w:hAnsi="Times New Roman"/>
          <w:sz w:val="28"/>
          <w:szCs w:val="28"/>
          <w:lang w:val="uk-UA"/>
        </w:rPr>
      </w:pPr>
      <w:r>
        <w:rPr>
          <w:rStyle w:val="hps"/>
          <w:rFonts w:ascii="Times New Roman" w:hAnsi="Times New Roman"/>
          <w:sz w:val="28"/>
          <w:szCs w:val="28"/>
          <w:lang w:val="uk-UA"/>
        </w:rPr>
        <w:t>Адемол є носієм актопротекторно</w:t>
      </w:r>
      <w:r w:rsidR="001F0A71" w:rsidRPr="00F42677">
        <w:rPr>
          <w:rStyle w:val="hps"/>
          <w:rFonts w:ascii="Times New Roman" w:hAnsi="Times New Roman"/>
          <w:sz w:val="28"/>
          <w:szCs w:val="28"/>
          <w:lang w:val="uk-UA"/>
        </w:rPr>
        <w:t>ї активності, що реалізується через його антиадренергічну дію (неселективна блокада β-адренорецепторів) та спроможності впливати на морфо-функціональний стан наднирників. Зважаючи на це, було до</w:t>
      </w:r>
      <w:r>
        <w:rPr>
          <w:rStyle w:val="hps"/>
          <w:rFonts w:ascii="Times New Roman" w:hAnsi="Times New Roman"/>
          <w:sz w:val="28"/>
          <w:szCs w:val="28"/>
          <w:lang w:val="uk-UA"/>
        </w:rPr>
        <w:t>цільним охарактеризувати вплив а</w:t>
      </w:r>
      <w:r w:rsidR="001F0A71" w:rsidRPr="00F42677">
        <w:rPr>
          <w:rStyle w:val="hps"/>
          <w:rFonts w:ascii="Times New Roman" w:hAnsi="Times New Roman"/>
          <w:sz w:val="28"/>
          <w:szCs w:val="28"/>
          <w:lang w:val="uk-UA"/>
        </w:rPr>
        <w:t xml:space="preserve">демолу на рівень кортизолу, в якості маркера стероїдної нейротоксичності при </w:t>
      </w:r>
      <w:r w:rsidR="001F0A71" w:rsidRPr="000A665E">
        <w:rPr>
          <w:rFonts w:ascii="Times New Roman" w:hAnsi="Times New Roman"/>
          <w:color w:val="000000" w:themeColor="text1"/>
          <w:sz w:val="28"/>
          <w:szCs w:val="28"/>
          <w:lang w:val="uk-UA"/>
        </w:rPr>
        <w:t>В</w:t>
      </w:r>
      <w:r w:rsidR="001F0A71">
        <w:rPr>
          <w:rFonts w:ascii="Times New Roman" w:hAnsi="Times New Roman"/>
          <w:color w:val="000000" w:themeColor="text1"/>
          <w:sz w:val="28"/>
          <w:szCs w:val="28"/>
          <w:lang w:val="uk-UA"/>
        </w:rPr>
        <w:t>ЧК</w:t>
      </w:r>
      <w:r w:rsidR="001F0A71" w:rsidRPr="00F42677">
        <w:rPr>
          <w:rStyle w:val="hps"/>
          <w:rFonts w:ascii="Times New Roman" w:hAnsi="Times New Roman"/>
          <w:sz w:val="28"/>
          <w:szCs w:val="28"/>
          <w:lang w:val="uk-UA"/>
        </w:rPr>
        <w:t xml:space="preserve">, як одного із механізмів нейропротекторної дії препарату </w:t>
      </w:r>
      <w:r w:rsidR="001F0A71" w:rsidRPr="00F42677">
        <w:rPr>
          <w:rFonts w:ascii="Times New Roman" w:hAnsi="Times New Roman"/>
          <w:sz w:val="28"/>
          <w:szCs w:val="28"/>
          <w:lang w:val="uk-UA"/>
        </w:rPr>
        <w:t>(табл. 6.6)</w:t>
      </w:r>
      <w:r w:rsidR="001F0A71" w:rsidRPr="00F42677">
        <w:rPr>
          <w:rStyle w:val="hps"/>
          <w:rFonts w:ascii="Times New Roman" w:hAnsi="Times New Roman"/>
          <w:sz w:val="28"/>
          <w:szCs w:val="28"/>
          <w:lang w:val="uk-UA"/>
        </w:rPr>
        <w:t xml:space="preserve">. </w:t>
      </w:r>
    </w:p>
    <w:p w:rsidR="00E1086D" w:rsidRDefault="00E1086D" w:rsidP="00E1086D">
      <w:pPr>
        <w:widowControl w:val="0"/>
        <w:spacing w:after="0" w:line="360" w:lineRule="auto"/>
        <w:ind w:right="-6" w:firstLine="284"/>
        <w:jc w:val="both"/>
        <w:rPr>
          <w:rFonts w:ascii="Times New Roman" w:hAnsi="Times New Roman"/>
          <w:sz w:val="28"/>
          <w:szCs w:val="28"/>
          <w:lang w:val="uk-UA"/>
        </w:rPr>
      </w:pPr>
      <w:r w:rsidRPr="00F42677">
        <w:rPr>
          <w:rFonts w:ascii="Times New Roman" w:hAnsi="Times New Roman"/>
          <w:sz w:val="28"/>
          <w:szCs w:val="28"/>
          <w:lang w:val="uk-UA"/>
        </w:rPr>
        <w:t xml:space="preserve">Дослідження коливань </w:t>
      </w:r>
      <w:r>
        <w:rPr>
          <w:rFonts w:ascii="Times New Roman" w:hAnsi="Times New Roman"/>
          <w:sz w:val="28"/>
          <w:szCs w:val="28"/>
          <w:lang w:val="uk-UA"/>
        </w:rPr>
        <w:t>рівн</w:t>
      </w:r>
      <w:r w:rsidRPr="00F42677">
        <w:rPr>
          <w:rFonts w:ascii="Times New Roman" w:hAnsi="Times New Roman"/>
          <w:sz w:val="28"/>
          <w:szCs w:val="28"/>
          <w:lang w:val="uk-UA"/>
        </w:rPr>
        <w:t>ів кортизолу у щурів в умовах ВМК показав, що на 21-шу добу після відтворення інсульту, його рівень вірогідно підвищився відносно псевдооперованих тварин в середньому у 5,85 разу (табл. 6.6). Беручи до уваги той факт, що рівень кортизолуверифікували в сироватці крові сагітального синуса головного мозку тварин, можна з високою вірогідністю стверджувати про факт стероїдної нейротоксичності.</w:t>
      </w:r>
    </w:p>
    <w:p w:rsidR="00E1086D" w:rsidRPr="00F42677" w:rsidRDefault="00E1086D" w:rsidP="00E1086D">
      <w:pPr>
        <w:widowControl w:val="0"/>
        <w:spacing w:after="0" w:line="360" w:lineRule="auto"/>
        <w:ind w:right="-6" w:firstLine="284"/>
        <w:jc w:val="both"/>
        <w:rPr>
          <w:rFonts w:ascii="Times New Roman" w:hAnsi="Times New Roman"/>
          <w:sz w:val="28"/>
          <w:szCs w:val="28"/>
          <w:lang w:val="uk-UA"/>
        </w:rPr>
      </w:pPr>
      <w:r w:rsidRPr="00F42677">
        <w:rPr>
          <w:rFonts w:ascii="Times New Roman" w:hAnsi="Times New Roman"/>
          <w:sz w:val="28"/>
          <w:szCs w:val="28"/>
          <w:lang w:val="uk-UA"/>
        </w:rPr>
        <w:t xml:space="preserve">Наростання </w:t>
      </w:r>
      <w:r>
        <w:rPr>
          <w:rFonts w:ascii="Times New Roman" w:hAnsi="Times New Roman"/>
          <w:sz w:val="28"/>
          <w:szCs w:val="28"/>
          <w:lang w:val="uk-UA"/>
        </w:rPr>
        <w:t>рівнів</w:t>
      </w:r>
      <w:r w:rsidRPr="00F42677">
        <w:rPr>
          <w:rFonts w:ascii="Times New Roman" w:hAnsi="Times New Roman"/>
          <w:sz w:val="28"/>
          <w:szCs w:val="28"/>
          <w:lang w:val="uk-UA"/>
        </w:rPr>
        <w:t>нейроглюкокортикоїдів має цитоморфогенетичний вплив на функціонування та диференціацію нейронів ЦНС</w:t>
      </w:r>
      <w:r w:rsidRPr="00F42677">
        <w:rPr>
          <w:rStyle w:val="hps"/>
          <w:rFonts w:ascii="Times New Roman" w:hAnsi="Times New Roman"/>
          <w:sz w:val="28"/>
          <w:szCs w:val="28"/>
          <w:lang w:val="uk-UA"/>
        </w:rPr>
        <w:t xml:space="preserve">. </w:t>
      </w:r>
      <w:r w:rsidRPr="00F42677">
        <w:rPr>
          <w:rFonts w:ascii="Times New Roman" w:hAnsi="Times New Roman"/>
          <w:sz w:val="28"/>
          <w:szCs w:val="28"/>
          <w:lang w:val="uk-UA"/>
        </w:rPr>
        <w:t xml:space="preserve">При інсульті, підвищеному рівню кортизолу відповідає зменшення кількості гіпокампальних нейронів зони СА1, </w:t>
      </w:r>
      <w:r w:rsidRPr="00F42677">
        <w:rPr>
          <w:rFonts w:ascii="Times New Roman" w:hAnsi="Times New Roman"/>
          <w:sz w:val="28"/>
          <w:szCs w:val="28"/>
          <w:lang w:val="uk-UA"/>
        </w:rPr>
        <w:lastRenderedPageBreak/>
        <w:t>апоптоз, погіршення неврологічного статусу, формування коматозного стану, погіршення мнемотропної діяльності та висока смертність</w:t>
      </w:r>
      <w:r>
        <w:rPr>
          <w:rFonts w:ascii="Times New Roman" w:hAnsi="Times New Roman"/>
          <w:sz w:val="28"/>
          <w:szCs w:val="28"/>
          <w:lang w:val="uk-UA"/>
        </w:rPr>
        <w:t>.</w:t>
      </w:r>
    </w:p>
    <w:p w:rsidR="00E1086D" w:rsidRDefault="00E1086D" w:rsidP="001F0A71">
      <w:pPr>
        <w:widowControl w:val="0"/>
        <w:spacing w:after="0" w:line="360" w:lineRule="auto"/>
        <w:ind w:firstLine="284"/>
        <w:jc w:val="both"/>
        <w:rPr>
          <w:rStyle w:val="hps"/>
          <w:rFonts w:ascii="Times New Roman" w:hAnsi="Times New Roman"/>
          <w:sz w:val="28"/>
          <w:szCs w:val="28"/>
          <w:lang w:val="uk-UA"/>
        </w:rPr>
      </w:pPr>
    </w:p>
    <w:p w:rsidR="001F0A71" w:rsidRPr="00F42677" w:rsidRDefault="001F0A71" w:rsidP="001F0A71">
      <w:pPr>
        <w:widowControl w:val="0"/>
        <w:spacing w:after="0" w:line="360" w:lineRule="auto"/>
        <w:ind w:firstLine="284"/>
        <w:jc w:val="right"/>
        <w:rPr>
          <w:rFonts w:ascii="Times New Roman" w:hAnsi="Times New Roman"/>
          <w:sz w:val="28"/>
          <w:szCs w:val="28"/>
          <w:lang w:val="uk-UA"/>
        </w:rPr>
      </w:pPr>
      <w:r w:rsidRPr="00F42677">
        <w:rPr>
          <w:rFonts w:ascii="Times New Roman" w:hAnsi="Times New Roman"/>
          <w:sz w:val="28"/>
          <w:szCs w:val="28"/>
          <w:lang w:val="uk-UA"/>
        </w:rPr>
        <w:t>Таблиця 6.6</w:t>
      </w:r>
    </w:p>
    <w:p w:rsidR="001F0A71" w:rsidRDefault="001F0A71" w:rsidP="001F0A71">
      <w:pPr>
        <w:widowControl w:val="0"/>
        <w:spacing w:after="0" w:line="360" w:lineRule="auto"/>
        <w:ind w:firstLine="284"/>
        <w:jc w:val="center"/>
        <w:rPr>
          <w:rFonts w:ascii="Times New Roman" w:hAnsi="Times New Roman"/>
          <w:sz w:val="28"/>
          <w:szCs w:val="28"/>
          <w:lang w:val="uk-UA"/>
        </w:rPr>
      </w:pPr>
      <w:r w:rsidRPr="00F42677">
        <w:rPr>
          <w:rFonts w:ascii="Times New Roman" w:hAnsi="Times New Roman"/>
          <w:sz w:val="28"/>
          <w:szCs w:val="28"/>
          <w:lang w:val="uk-UA"/>
        </w:rPr>
        <w:t>Вплив адемолута референс-препаратів на</w:t>
      </w:r>
      <w:r>
        <w:rPr>
          <w:rFonts w:ascii="Times New Roman" w:hAnsi="Times New Roman"/>
          <w:sz w:val="28"/>
          <w:szCs w:val="28"/>
          <w:lang w:val="uk-UA"/>
        </w:rPr>
        <w:t>рівень</w:t>
      </w:r>
      <w:r w:rsidRPr="00F42677">
        <w:rPr>
          <w:rFonts w:ascii="Times New Roman" w:hAnsi="Times New Roman"/>
          <w:sz w:val="28"/>
          <w:szCs w:val="28"/>
          <w:lang w:val="uk-UA"/>
        </w:rPr>
        <w:t>кортизолу у сироватці крові сагітального синуса щурів із внутрішньомозковим крововиливом у відновний період інсульту (21-ша доба), M±m</w:t>
      </w:r>
      <w:r>
        <w:rPr>
          <w:rFonts w:ascii="Times New Roman" w:hAnsi="Times New Roman"/>
          <w:sz w:val="28"/>
          <w:szCs w:val="28"/>
          <w:lang w:val="uk-UA"/>
        </w:rPr>
        <w:t>(</w:t>
      </w:r>
      <w:r w:rsidRPr="00F42677">
        <w:rPr>
          <w:rFonts w:ascii="Times New Roman" w:hAnsi="Times New Roman"/>
          <w:sz w:val="28"/>
          <w:szCs w:val="28"/>
          <w:lang w:val="uk-UA"/>
        </w:rPr>
        <w:t>n=7</w:t>
      </w:r>
      <w:r>
        <w:rPr>
          <w:rFonts w:ascii="Times New Roman" w:hAnsi="Times New Roman"/>
          <w:sz w:val="28"/>
          <w:szCs w:val="28"/>
          <w:lang w:val="uk-UA"/>
        </w:rPr>
        <w:t>)</w:t>
      </w:r>
    </w:p>
    <w:p w:rsidR="0036311A" w:rsidRDefault="0036311A" w:rsidP="001F0A71">
      <w:pPr>
        <w:widowControl w:val="0"/>
        <w:spacing w:after="0" w:line="360" w:lineRule="auto"/>
        <w:ind w:firstLine="284"/>
        <w:jc w:val="center"/>
        <w:rPr>
          <w:rFonts w:ascii="Times New Roman" w:hAnsi="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5"/>
        <w:gridCol w:w="2785"/>
      </w:tblGrid>
      <w:tr w:rsidR="001F0A71" w:rsidRPr="00321E29" w:rsidTr="001F0A71">
        <w:trPr>
          <w:trHeight w:val="469"/>
          <w:jc w:val="center"/>
        </w:trPr>
        <w:tc>
          <w:tcPr>
            <w:tcW w:w="7225"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Групи тварин</w:t>
            </w:r>
          </w:p>
        </w:tc>
        <w:tc>
          <w:tcPr>
            <w:tcW w:w="2785"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Рівень кортизолу, нг/мл</w:t>
            </w:r>
          </w:p>
        </w:tc>
      </w:tr>
      <w:tr w:rsidR="001F0A71" w:rsidRPr="00321E29" w:rsidTr="001F0A71">
        <w:trPr>
          <w:jc w:val="center"/>
        </w:trPr>
        <w:tc>
          <w:tcPr>
            <w:tcW w:w="7225" w:type="dxa"/>
            <w:vAlign w:val="center"/>
          </w:tcPr>
          <w:p w:rsidR="001F0A71" w:rsidRPr="00321E29" w:rsidRDefault="001F0A71" w:rsidP="00086591">
            <w:pPr>
              <w:widowControl w:val="0"/>
              <w:spacing w:before="60" w:after="60" w:line="240" w:lineRule="auto"/>
              <w:rPr>
                <w:rFonts w:ascii="Times New Roman" w:hAnsi="Times New Roman"/>
                <w:b/>
                <w:sz w:val="28"/>
                <w:szCs w:val="28"/>
                <w:lang w:val="uk-UA"/>
              </w:rPr>
            </w:pPr>
            <w:r w:rsidRPr="00321E29">
              <w:rPr>
                <w:rFonts w:ascii="Times New Roman" w:hAnsi="Times New Roman"/>
                <w:sz w:val="28"/>
                <w:szCs w:val="28"/>
                <w:lang w:val="uk-UA"/>
              </w:rPr>
              <w:t>Псевдооперовані тварини + 0,9% NаСІ, 2 мл/кг</w:t>
            </w:r>
          </w:p>
        </w:tc>
        <w:tc>
          <w:tcPr>
            <w:tcW w:w="2785"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109,03±7,04</w:t>
            </w:r>
          </w:p>
        </w:tc>
      </w:tr>
      <w:tr w:rsidR="001F0A71" w:rsidRPr="00321E29" w:rsidTr="001F0A71">
        <w:trPr>
          <w:jc w:val="center"/>
        </w:trPr>
        <w:tc>
          <w:tcPr>
            <w:tcW w:w="7225" w:type="dxa"/>
            <w:vAlign w:val="center"/>
          </w:tcPr>
          <w:p w:rsidR="001F0A71" w:rsidRPr="00321E29" w:rsidRDefault="001F0A71" w:rsidP="00086591">
            <w:pPr>
              <w:widowControl w:val="0"/>
              <w:spacing w:before="60" w:after="60" w:line="240" w:lineRule="auto"/>
              <w:rPr>
                <w:rFonts w:ascii="Times New Roman" w:hAnsi="Times New Roman"/>
                <w:b/>
                <w:sz w:val="28"/>
                <w:szCs w:val="28"/>
                <w:lang w:val="uk-UA"/>
              </w:rPr>
            </w:pPr>
            <w:r w:rsidRPr="00321E29">
              <w:rPr>
                <w:rFonts w:ascii="Times New Roman" w:hAnsi="Times New Roman"/>
                <w:sz w:val="28"/>
                <w:szCs w:val="28"/>
                <w:lang w:val="uk-UA"/>
              </w:rPr>
              <w:t>ВМК + 0,9% NаСІ, 2 мл/кг(група контрольної патології)</w:t>
            </w:r>
          </w:p>
        </w:tc>
        <w:tc>
          <w:tcPr>
            <w:tcW w:w="2785"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638,27±19,53 º</w:t>
            </w:r>
          </w:p>
        </w:tc>
      </w:tr>
      <w:tr w:rsidR="001F0A71" w:rsidRPr="00321E29" w:rsidTr="001F0A71">
        <w:trPr>
          <w:jc w:val="center"/>
        </w:trPr>
        <w:tc>
          <w:tcPr>
            <w:tcW w:w="7225" w:type="dxa"/>
            <w:vAlign w:val="center"/>
          </w:tcPr>
          <w:p w:rsidR="001F0A71" w:rsidRPr="00321E29" w:rsidRDefault="001F0A71" w:rsidP="00086591">
            <w:pPr>
              <w:widowControl w:val="0"/>
              <w:spacing w:before="60" w:after="60" w:line="240" w:lineRule="auto"/>
              <w:rPr>
                <w:rFonts w:ascii="Times New Roman" w:hAnsi="Times New Roman"/>
                <w:b/>
                <w:sz w:val="28"/>
                <w:szCs w:val="28"/>
                <w:lang w:val="uk-UA"/>
              </w:rPr>
            </w:pPr>
            <w:r w:rsidRPr="00321E29">
              <w:rPr>
                <w:rFonts w:ascii="Times New Roman" w:hAnsi="Times New Roman"/>
                <w:sz w:val="28"/>
                <w:szCs w:val="28"/>
                <w:lang w:val="uk-UA"/>
              </w:rPr>
              <w:t>ВМК</w:t>
            </w:r>
            <w:r w:rsidRPr="00321E29">
              <w:rPr>
                <w:rFonts w:ascii="Times New Roman" w:hAnsi="Times New Roman"/>
                <w:b/>
                <w:sz w:val="28"/>
                <w:szCs w:val="28"/>
                <w:lang w:val="uk-UA"/>
              </w:rPr>
              <w:t xml:space="preserve"> + </w:t>
            </w:r>
            <w:r w:rsidRPr="00321E29">
              <w:rPr>
                <w:rFonts w:ascii="Times New Roman" w:hAnsi="Times New Roman"/>
                <w:sz w:val="28"/>
                <w:szCs w:val="28"/>
                <w:lang w:val="uk-UA"/>
              </w:rPr>
              <w:t xml:space="preserve">адемол, 2 мг⁄кг, </w:t>
            </w:r>
          </w:p>
        </w:tc>
        <w:tc>
          <w:tcPr>
            <w:tcW w:w="2785"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198,21±10,39 º*</w:t>
            </w:r>
            <w:r w:rsidRPr="00321E29">
              <w:rPr>
                <w:rFonts w:ascii="Times New Roman" w:hAnsi="Times New Roman"/>
                <w:sz w:val="28"/>
                <w:szCs w:val="28"/>
                <w:vertAlign w:val="superscript"/>
                <w:lang w:val="uk-UA"/>
              </w:rPr>
              <w:t>#&amp;</w:t>
            </w:r>
            <w:r w:rsidRPr="00321E29">
              <w:rPr>
                <w:rFonts w:ascii="Times New Roman" w:hAnsi="Times New Roman"/>
                <w:sz w:val="32"/>
                <w:szCs w:val="32"/>
                <w:vertAlign w:val="superscript"/>
                <w:lang w:val="uk-UA"/>
              </w:rPr>
              <w:t>α</w:t>
            </w:r>
          </w:p>
        </w:tc>
      </w:tr>
      <w:tr w:rsidR="001F0A71" w:rsidRPr="00321E29" w:rsidTr="001F0A71">
        <w:trPr>
          <w:jc w:val="center"/>
        </w:trPr>
        <w:tc>
          <w:tcPr>
            <w:tcW w:w="7225" w:type="dxa"/>
            <w:vAlign w:val="center"/>
          </w:tcPr>
          <w:p w:rsidR="001F0A71" w:rsidRPr="00321E29" w:rsidRDefault="001F0A71" w:rsidP="00086591">
            <w:pPr>
              <w:widowControl w:val="0"/>
              <w:spacing w:before="60" w:after="60" w:line="240" w:lineRule="auto"/>
              <w:rPr>
                <w:rFonts w:ascii="Times New Roman" w:hAnsi="Times New Roman"/>
                <w:b/>
                <w:sz w:val="28"/>
                <w:szCs w:val="28"/>
                <w:lang w:val="uk-UA"/>
              </w:rPr>
            </w:pPr>
            <w:r w:rsidRPr="00321E29">
              <w:rPr>
                <w:rFonts w:ascii="Times New Roman" w:hAnsi="Times New Roman"/>
                <w:sz w:val="28"/>
                <w:szCs w:val="28"/>
                <w:lang w:val="uk-UA"/>
              </w:rPr>
              <w:t>ВМК + німодипін,30 мкг⁄кг</w:t>
            </w:r>
          </w:p>
        </w:tc>
        <w:tc>
          <w:tcPr>
            <w:tcW w:w="2785"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300,01±21,41 º*</w:t>
            </w:r>
            <w:r w:rsidRPr="00321E29">
              <w:rPr>
                <w:rFonts w:ascii="Times New Roman" w:hAnsi="Times New Roman"/>
                <w:sz w:val="28"/>
                <w:szCs w:val="28"/>
                <w:vertAlign w:val="superscript"/>
                <w:lang w:val="uk-UA"/>
              </w:rPr>
              <w:t>#&amp;</w:t>
            </w:r>
          </w:p>
        </w:tc>
      </w:tr>
      <w:tr w:rsidR="001F0A71" w:rsidRPr="00321E29" w:rsidTr="001F0A71">
        <w:trPr>
          <w:jc w:val="center"/>
        </w:trPr>
        <w:tc>
          <w:tcPr>
            <w:tcW w:w="7225" w:type="dxa"/>
            <w:vAlign w:val="center"/>
          </w:tcPr>
          <w:p w:rsidR="001F0A71" w:rsidRPr="00321E29" w:rsidRDefault="001F0A71" w:rsidP="00086591">
            <w:pPr>
              <w:widowControl w:val="0"/>
              <w:spacing w:before="60" w:after="60" w:line="240" w:lineRule="auto"/>
              <w:rPr>
                <w:rFonts w:ascii="Times New Roman" w:hAnsi="Times New Roman"/>
                <w:sz w:val="28"/>
                <w:szCs w:val="28"/>
                <w:lang w:val="uk-UA"/>
              </w:rPr>
            </w:pPr>
            <w:r w:rsidRPr="00321E29">
              <w:rPr>
                <w:rFonts w:ascii="Times New Roman" w:hAnsi="Times New Roman"/>
                <w:sz w:val="28"/>
                <w:szCs w:val="28"/>
                <w:lang w:val="uk-UA"/>
              </w:rPr>
              <w:t>ВМК + амантадину сульфат, 10 мг⁄кг</w:t>
            </w:r>
          </w:p>
        </w:tc>
        <w:tc>
          <w:tcPr>
            <w:tcW w:w="2785"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391,34±11,70 º*</w:t>
            </w:r>
            <w:r w:rsidRPr="00321E29">
              <w:rPr>
                <w:rFonts w:ascii="Times New Roman" w:hAnsi="Times New Roman"/>
                <w:sz w:val="28"/>
                <w:szCs w:val="28"/>
                <w:vertAlign w:val="superscript"/>
                <w:lang w:val="uk-UA"/>
              </w:rPr>
              <w:t>#</w:t>
            </w:r>
          </w:p>
        </w:tc>
      </w:tr>
      <w:tr w:rsidR="001F0A71" w:rsidRPr="00321E29" w:rsidTr="001F0A71">
        <w:trPr>
          <w:jc w:val="center"/>
        </w:trPr>
        <w:tc>
          <w:tcPr>
            <w:tcW w:w="7225" w:type="dxa"/>
            <w:vAlign w:val="center"/>
          </w:tcPr>
          <w:p w:rsidR="001F0A71" w:rsidRPr="00321E29" w:rsidRDefault="001F0A71" w:rsidP="00086591">
            <w:pPr>
              <w:widowControl w:val="0"/>
              <w:spacing w:before="60" w:after="60" w:line="240" w:lineRule="auto"/>
              <w:rPr>
                <w:rFonts w:ascii="Times New Roman" w:hAnsi="Times New Roman"/>
                <w:sz w:val="28"/>
                <w:szCs w:val="28"/>
                <w:lang w:val="uk-UA"/>
              </w:rPr>
            </w:pPr>
            <w:r w:rsidRPr="00321E29">
              <w:rPr>
                <w:rFonts w:ascii="Times New Roman" w:hAnsi="Times New Roman"/>
                <w:sz w:val="28"/>
                <w:szCs w:val="28"/>
                <w:lang w:val="uk-UA"/>
              </w:rPr>
              <w:t>ВМК + магнію сульфат, 250 мг⁄кг</w:t>
            </w:r>
          </w:p>
        </w:tc>
        <w:tc>
          <w:tcPr>
            <w:tcW w:w="2785" w:type="dxa"/>
            <w:vAlign w:val="center"/>
          </w:tcPr>
          <w:p w:rsidR="001F0A71" w:rsidRPr="00321E29" w:rsidRDefault="001F0A71" w:rsidP="00086591">
            <w:pPr>
              <w:widowControl w:val="0"/>
              <w:spacing w:before="60" w:after="60" w:line="240" w:lineRule="auto"/>
              <w:jc w:val="center"/>
              <w:rPr>
                <w:rFonts w:ascii="Times New Roman" w:hAnsi="Times New Roman"/>
                <w:sz w:val="28"/>
                <w:szCs w:val="28"/>
                <w:lang w:val="uk-UA"/>
              </w:rPr>
            </w:pPr>
            <w:r w:rsidRPr="00321E29">
              <w:rPr>
                <w:rFonts w:ascii="Times New Roman" w:hAnsi="Times New Roman"/>
                <w:sz w:val="28"/>
                <w:szCs w:val="28"/>
                <w:lang w:val="uk-UA"/>
              </w:rPr>
              <w:t>520,56±11,30 º*</w:t>
            </w:r>
          </w:p>
        </w:tc>
      </w:tr>
    </w:tbl>
    <w:p w:rsidR="001F0A71" w:rsidRDefault="001F0A71" w:rsidP="0069152C">
      <w:pPr>
        <w:widowControl w:val="0"/>
        <w:tabs>
          <w:tab w:val="left" w:pos="1080"/>
        </w:tabs>
        <w:spacing w:after="0" w:line="240" w:lineRule="auto"/>
        <w:ind w:firstLine="284"/>
        <w:jc w:val="both"/>
        <w:rPr>
          <w:rFonts w:ascii="Times New Roman" w:hAnsi="Times New Roman"/>
          <w:sz w:val="28"/>
          <w:szCs w:val="28"/>
          <w:lang w:val="uk-UA"/>
        </w:rPr>
      </w:pPr>
    </w:p>
    <w:p w:rsidR="001F0A71" w:rsidRDefault="001F0A71" w:rsidP="0069152C">
      <w:pPr>
        <w:widowControl w:val="0"/>
        <w:tabs>
          <w:tab w:val="left" w:pos="1080"/>
        </w:tabs>
        <w:spacing w:after="0" w:line="240" w:lineRule="auto"/>
        <w:ind w:firstLine="284"/>
        <w:jc w:val="both"/>
        <w:rPr>
          <w:rFonts w:ascii="Times New Roman" w:hAnsi="Times New Roman"/>
          <w:sz w:val="28"/>
          <w:szCs w:val="28"/>
          <w:lang w:val="uk-UA"/>
        </w:rPr>
      </w:pPr>
      <w:r w:rsidRPr="00F42677">
        <w:rPr>
          <w:rFonts w:ascii="Times New Roman" w:hAnsi="Times New Roman"/>
          <w:sz w:val="28"/>
          <w:szCs w:val="28"/>
          <w:lang w:val="uk-UA"/>
        </w:rPr>
        <w:t>Примітки:</w:t>
      </w:r>
    </w:p>
    <w:p w:rsidR="001F0A71" w:rsidRPr="00F42677" w:rsidRDefault="001F0A71" w:rsidP="00086591">
      <w:pPr>
        <w:widowControl w:val="0"/>
        <w:numPr>
          <w:ilvl w:val="0"/>
          <w:numId w:val="24"/>
        </w:numPr>
        <w:tabs>
          <w:tab w:val="left" w:pos="993"/>
          <w:tab w:val="left" w:pos="1701"/>
        </w:tabs>
        <w:spacing w:after="0" w:line="360" w:lineRule="auto"/>
        <w:ind w:left="709" w:firstLine="0"/>
        <w:jc w:val="both"/>
        <w:rPr>
          <w:rFonts w:ascii="Times New Roman" w:hAnsi="Times New Roman"/>
          <w:sz w:val="28"/>
          <w:szCs w:val="28"/>
          <w:lang w:val="uk-UA"/>
        </w:rPr>
      </w:pPr>
      <w:r w:rsidRPr="00F42677">
        <w:rPr>
          <w:rFonts w:ascii="Times New Roman" w:hAnsi="Times New Roman"/>
          <w:sz w:val="28"/>
          <w:szCs w:val="28"/>
          <w:lang w:val="uk-UA"/>
        </w:rPr>
        <w:t>º – р&lt;0,05 відносно псевдооперованих тварин;</w:t>
      </w:r>
    </w:p>
    <w:p w:rsidR="001F0A71" w:rsidRPr="00C25102" w:rsidRDefault="001F0A71" w:rsidP="00086591">
      <w:pPr>
        <w:widowControl w:val="0"/>
        <w:tabs>
          <w:tab w:val="left" w:pos="1276"/>
        </w:tabs>
        <w:spacing w:after="0" w:line="360" w:lineRule="auto"/>
        <w:ind w:left="709"/>
        <w:jc w:val="both"/>
        <w:rPr>
          <w:rFonts w:ascii="Times New Roman" w:hAnsi="Times New Roman"/>
          <w:sz w:val="28"/>
          <w:szCs w:val="28"/>
          <w:lang w:val="uk-UA"/>
        </w:rPr>
      </w:pPr>
      <w:r w:rsidRPr="00C25102">
        <w:rPr>
          <w:rFonts w:ascii="Times New Roman" w:hAnsi="Times New Roman"/>
          <w:sz w:val="28"/>
          <w:szCs w:val="28"/>
          <w:lang w:val="uk-UA"/>
        </w:rPr>
        <w:t>3.* – р&lt;0,05 відносно контрольної патології;</w:t>
      </w:r>
    </w:p>
    <w:p w:rsidR="001F0A71" w:rsidRPr="00C25102" w:rsidRDefault="001F0A71" w:rsidP="00086591">
      <w:pPr>
        <w:widowControl w:val="0"/>
        <w:tabs>
          <w:tab w:val="left" w:pos="1276"/>
        </w:tabs>
        <w:spacing w:after="0" w:line="360" w:lineRule="auto"/>
        <w:ind w:left="709"/>
        <w:rPr>
          <w:rFonts w:ascii="Times New Roman" w:hAnsi="Times New Roman"/>
          <w:sz w:val="28"/>
          <w:szCs w:val="28"/>
          <w:lang w:val="uk-UA"/>
        </w:rPr>
      </w:pPr>
      <w:r w:rsidRPr="00C25102">
        <w:rPr>
          <w:rFonts w:ascii="Times New Roman" w:hAnsi="Times New Roman"/>
          <w:sz w:val="28"/>
          <w:szCs w:val="28"/>
          <w:lang w:val="uk-UA"/>
        </w:rPr>
        <w:t xml:space="preserve">4. </w:t>
      </w:r>
      <w:r w:rsidRPr="00C25102">
        <w:rPr>
          <w:rFonts w:ascii="Times New Roman" w:hAnsi="Times New Roman"/>
          <w:sz w:val="28"/>
          <w:szCs w:val="28"/>
          <w:vertAlign w:val="superscript"/>
          <w:lang w:val="uk-UA"/>
        </w:rPr>
        <w:t xml:space="preserve"># </w:t>
      </w:r>
      <w:r w:rsidRPr="00C25102">
        <w:rPr>
          <w:rFonts w:ascii="Times New Roman" w:hAnsi="Times New Roman"/>
          <w:sz w:val="28"/>
          <w:szCs w:val="28"/>
          <w:lang w:val="uk-UA"/>
        </w:rPr>
        <w:t>– р&lt;0,05 відносно магнію сульфату (250 мг/кг);</w:t>
      </w:r>
    </w:p>
    <w:p w:rsidR="001F0A71" w:rsidRPr="00F42677" w:rsidRDefault="001F0A71" w:rsidP="00086591">
      <w:pPr>
        <w:widowControl w:val="0"/>
        <w:tabs>
          <w:tab w:val="left" w:pos="1276"/>
        </w:tabs>
        <w:spacing w:after="0" w:line="360" w:lineRule="auto"/>
        <w:ind w:left="709"/>
        <w:jc w:val="both"/>
        <w:rPr>
          <w:rFonts w:ascii="Times New Roman" w:hAnsi="Times New Roman"/>
          <w:sz w:val="28"/>
          <w:szCs w:val="28"/>
          <w:lang w:val="uk-UA"/>
        </w:rPr>
      </w:pPr>
      <w:r w:rsidRPr="00C25102">
        <w:rPr>
          <w:rFonts w:ascii="Times New Roman" w:hAnsi="Times New Roman"/>
          <w:sz w:val="28"/>
          <w:szCs w:val="28"/>
          <w:lang w:val="uk-UA"/>
        </w:rPr>
        <w:t xml:space="preserve">5. </w:t>
      </w:r>
      <w:r w:rsidRPr="00C25102">
        <w:rPr>
          <w:rFonts w:ascii="Times New Roman" w:hAnsi="Times New Roman"/>
          <w:sz w:val="28"/>
          <w:szCs w:val="28"/>
          <w:vertAlign w:val="superscript"/>
          <w:lang w:val="uk-UA"/>
        </w:rPr>
        <w:t>&amp;</w:t>
      </w:r>
      <w:r w:rsidRPr="00C25102">
        <w:rPr>
          <w:rFonts w:ascii="Times New Roman" w:hAnsi="Times New Roman"/>
          <w:sz w:val="28"/>
          <w:szCs w:val="28"/>
          <w:lang w:val="uk-UA"/>
        </w:rPr>
        <w:t>– р&lt;0,05 відносно амантадину сульфату (10 мг/кг);</w:t>
      </w:r>
    </w:p>
    <w:p w:rsidR="001F0A71" w:rsidRPr="00F42677" w:rsidRDefault="001F0A71" w:rsidP="00086591">
      <w:pPr>
        <w:pStyle w:val="a5"/>
        <w:widowControl w:val="0"/>
        <w:tabs>
          <w:tab w:val="left" w:pos="1843"/>
        </w:tabs>
        <w:spacing w:after="0" w:line="360" w:lineRule="auto"/>
        <w:ind w:left="709"/>
        <w:rPr>
          <w:rFonts w:ascii="Times New Roman" w:hAnsi="Times New Roman"/>
          <w:sz w:val="28"/>
          <w:szCs w:val="28"/>
          <w:lang w:val="uk-UA"/>
        </w:rPr>
      </w:pPr>
      <w:r w:rsidRPr="00F42677">
        <w:rPr>
          <w:rFonts w:ascii="Times New Roman" w:hAnsi="Times New Roman"/>
          <w:sz w:val="28"/>
          <w:szCs w:val="28"/>
          <w:lang w:val="uk-UA"/>
        </w:rPr>
        <w:t xml:space="preserve">6. α – р&lt;0,05 </w:t>
      </w:r>
      <w:r w:rsidRPr="00F42677">
        <w:rPr>
          <w:rFonts w:ascii="Times New Roman" w:hAnsi="Times New Roman"/>
          <w:sz w:val="28"/>
          <w:lang w:val="uk-UA"/>
        </w:rPr>
        <w:t xml:space="preserve">відносно </w:t>
      </w:r>
      <w:r w:rsidRPr="00F42677">
        <w:rPr>
          <w:rFonts w:ascii="Times New Roman" w:hAnsi="Times New Roman"/>
          <w:sz w:val="28"/>
          <w:szCs w:val="28"/>
          <w:lang w:val="uk-UA"/>
        </w:rPr>
        <w:t>німодипіну.</w:t>
      </w:r>
    </w:p>
    <w:p w:rsidR="00E1086D" w:rsidRDefault="00E1086D" w:rsidP="0069152C">
      <w:pPr>
        <w:widowControl w:val="0"/>
        <w:shd w:val="clear" w:color="auto" w:fill="FFFFFF"/>
        <w:spacing w:after="0" w:line="360" w:lineRule="auto"/>
        <w:ind w:firstLine="284"/>
        <w:jc w:val="both"/>
        <w:rPr>
          <w:rFonts w:ascii="Times New Roman" w:hAnsi="Times New Roman"/>
          <w:sz w:val="28"/>
          <w:szCs w:val="28"/>
          <w:lang w:val="uk-UA"/>
        </w:rPr>
      </w:pPr>
    </w:p>
    <w:p w:rsidR="001F0A71" w:rsidRPr="00F42677" w:rsidRDefault="001F0A71" w:rsidP="0069152C">
      <w:pPr>
        <w:widowControl w:val="0"/>
        <w:shd w:val="clear" w:color="auto" w:fill="FFFFFF"/>
        <w:spacing w:after="0" w:line="360" w:lineRule="auto"/>
        <w:ind w:firstLine="284"/>
        <w:jc w:val="both"/>
        <w:rPr>
          <w:rFonts w:ascii="Times New Roman" w:hAnsi="Times New Roman"/>
          <w:sz w:val="28"/>
          <w:szCs w:val="28"/>
          <w:lang w:val="uk-UA"/>
        </w:rPr>
      </w:pPr>
      <w:r w:rsidRPr="00F42677">
        <w:rPr>
          <w:rFonts w:ascii="Times New Roman" w:hAnsi="Times New Roman"/>
          <w:sz w:val="28"/>
          <w:szCs w:val="28"/>
          <w:lang w:val="uk-UA"/>
        </w:rPr>
        <w:t xml:space="preserve">Лікувальне курсова інфузія щурам із ВМК адемолу умовно-ефективною дозою 2 мг/кг в/в, достовірно ліпше за решту референсів протидіяло наростанню глюкокортикоїдноїнейротоксичності, що проявилось у помірному підвищенню </w:t>
      </w:r>
      <w:r>
        <w:rPr>
          <w:rFonts w:ascii="Times New Roman" w:hAnsi="Times New Roman"/>
          <w:sz w:val="28"/>
          <w:szCs w:val="28"/>
          <w:lang w:val="uk-UA"/>
        </w:rPr>
        <w:t>рівня</w:t>
      </w:r>
      <w:r w:rsidRPr="00F42677">
        <w:rPr>
          <w:rFonts w:ascii="Times New Roman" w:hAnsi="Times New Roman"/>
          <w:sz w:val="28"/>
          <w:szCs w:val="28"/>
          <w:lang w:val="uk-UA"/>
        </w:rPr>
        <w:t xml:space="preserve">кортизолу відносно псевдооперованих тварин, у той час, як на тлі препаратів-порівняння наростання кортизолу виявилось значно вищим (у рази). Так, наприкінці експериментальної терапії інсульту адемолом, вміст досліджуваного гормону в сироватці крові сагітального синуса зменшився відносно групи контрольної </w:t>
      </w:r>
      <w:r w:rsidRPr="00F42677">
        <w:rPr>
          <w:rFonts w:ascii="Times New Roman" w:hAnsi="Times New Roman"/>
          <w:sz w:val="28"/>
          <w:szCs w:val="28"/>
          <w:lang w:val="uk-UA"/>
        </w:rPr>
        <w:lastRenderedPageBreak/>
        <w:t xml:space="preserve">патології в середньому у 3,22 рази (р&lt;0,05). Такий фармакодинамічний ефект адемолу свідчить про наявність у нього позитивного модулювального впливу на формування стероїдної нейротоксичності. При цьому, в умовах ВМК за здатністю знижувати вміст досліджуваного гормону, інфузіяадемолу, по ефективності вірогідно переважала німодипін в середньому в 1,51, а амантадину та магнію сульфат відповідно у 1,97 і 2,63 рази. </w:t>
      </w:r>
    </w:p>
    <w:p w:rsidR="001F0A71" w:rsidRPr="00F42677" w:rsidRDefault="001F0A71" w:rsidP="0069152C">
      <w:pPr>
        <w:widowControl w:val="0"/>
        <w:spacing w:after="0" w:line="360" w:lineRule="auto"/>
        <w:ind w:firstLine="284"/>
        <w:jc w:val="both"/>
        <w:rPr>
          <w:rFonts w:ascii="Times New Roman" w:hAnsi="Times New Roman"/>
          <w:sz w:val="28"/>
          <w:szCs w:val="28"/>
          <w:lang w:val="uk-UA" w:eastAsia="uk-UA"/>
        </w:rPr>
      </w:pPr>
      <w:r w:rsidRPr="00F42677">
        <w:rPr>
          <w:rFonts w:ascii="Times New Roman" w:hAnsi="Times New Roman"/>
          <w:sz w:val="28"/>
          <w:szCs w:val="28"/>
          <w:lang w:val="uk-UA"/>
        </w:rPr>
        <w:t>Антистероїдний ефект адемолу</w:t>
      </w:r>
      <w:r w:rsidRPr="00F42677">
        <w:rPr>
          <w:rFonts w:ascii="Times New Roman" w:hAnsi="Times New Roman"/>
          <w:sz w:val="28"/>
          <w:szCs w:val="28"/>
          <w:lang w:val="uk-UA" w:eastAsia="uk-UA"/>
        </w:rPr>
        <w:t xml:space="preserve"> в умовах </w:t>
      </w:r>
      <w:r w:rsidRPr="000A665E">
        <w:rPr>
          <w:rFonts w:ascii="Times New Roman" w:hAnsi="Times New Roman"/>
          <w:color w:val="000000" w:themeColor="text1"/>
          <w:sz w:val="28"/>
          <w:szCs w:val="28"/>
          <w:lang w:val="uk-UA"/>
        </w:rPr>
        <w:t>В</w:t>
      </w:r>
      <w:r>
        <w:rPr>
          <w:rFonts w:ascii="Times New Roman" w:hAnsi="Times New Roman"/>
          <w:color w:val="000000" w:themeColor="text1"/>
          <w:sz w:val="28"/>
          <w:szCs w:val="28"/>
          <w:lang w:val="uk-UA"/>
        </w:rPr>
        <w:t>ЧК</w:t>
      </w:r>
      <w:r w:rsidRPr="00F42677">
        <w:rPr>
          <w:rFonts w:ascii="Times New Roman" w:hAnsi="Times New Roman"/>
          <w:sz w:val="28"/>
          <w:szCs w:val="28"/>
          <w:lang w:val="uk-UA" w:eastAsia="uk-UA"/>
        </w:rPr>
        <w:t>, може бути одним із патогенетичних механізмів його церебропротекторної дії у відновний період інсульту.</w:t>
      </w:r>
    </w:p>
    <w:p w:rsidR="001F0A71" w:rsidRDefault="001F0A71" w:rsidP="0069152C">
      <w:pPr>
        <w:spacing w:after="160" w:line="259" w:lineRule="auto"/>
        <w:ind w:firstLine="284"/>
        <w:rPr>
          <w:rFonts w:ascii="Times New Roman" w:hAnsi="Times New Roman"/>
          <w:b/>
          <w:bCs/>
          <w:color w:val="000000"/>
          <w:sz w:val="28"/>
          <w:szCs w:val="26"/>
          <w:lang w:val="uk-UA"/>
        </w:rPr>
      </w:pPr>
      <w:r>
        <w:rPr>
          <w:lang w:val="uk-UA"/>
        </w:rPr>
        <w:br w:type="page"/>
      </w:r>
    </w:p>
    <w:p w:rsidR="001F0A71" w:rsidRDefault="001F0A71" w:rsidP="0069152C">
      <w:pPr>
        <w:pStyle w:val="2"/>
        <w:spacing w:line="360" w:lineRule="auto"/>
        <w:ind w:firstLine="284"/>
        <w:jc w:val="both"/>
        <w:rPr>
          <w:rFonts w:ascii="Times New Roman" w:hAnsi="Times New Roman" w:cs="Times New Roman"/>
          <w:bCs/>
          <w:color w:val="auto"/>
          <w:sz w:val="28"/>
          <w:lang w:val="uk-UA"/>
        </w:rPr>
      </w:pPr>
      <w:r w:rsidRPr="003515F0">
        <w:rPr>
          <w:rFonts w:ascii="Times New Roman" w:hAnsi="Times New Roman" w:cs="Times New Roman"/>
          <w:bCs/>
          <w:color w:val="auto"/>
          <w:sz w:val="28"/>
          <w:lang w:val="uk-UA"/>
        </w:rPr>
        <w:lastRenderedPageBreak/>
        <w:t>Висновки до розділу 6</w:t>
      </w:r>
    </w:p>
    <w:p w:rsidR="003515F0" w:rsidRPr="003515F0" w:rsidRDefault="003515F0" w:rsidP="003515F0">
      <w:pPr>
        <w:rPr>
          <w:lang w:val="uk-UA"/>
        </w:rPr>
      </w:pPr>
    </w:p>
    <w:p w:rsidR="001F0A71" w:rsidRPr="001F0A71" w:rsidRDefault="001F0A71" w:rsidP="0069152C">
      <w:pPr>
        <w:pStyle w:val="a5"/>
        <w:widowControl w:val="0"/>
        <w:shd w:val="clear" w:color="auto" w:fill="FFFFFF"/>
        <w:spacing w:after="0" w:line="360" w:lineRule="auto"/>
        <w:ind w:left="0" w:firstLine="284"/>
        <w:jc w:val="both"/>
        <w:rPr>
          <w:rFonts w:ascii="Times New Roman" w:hAnsi="Times New Roman"/>
          <w:sz w:val="28"/>
          <w:szCs w:val="28"/>
          <w:lang w:val="uk-UA"/>
        </w:rPr>
      </w:pPr>
      <w:r w:rsidRPr="001F0A71">
        <w:rPr>
          <w:rFonts w:ascii="Times New Roman" w:hAnsi="Times New Roman"/>
          <w:sz w:val="28"/>
          <w:szCs w:val="28"/>
          <w:lang w:val="uk-UA"/>
        </w:rPr>
        <w:t xml:space="preserve">До механізмів нейропротекторної дії адемолу в умовах </w:t>
      </w:r>
      <w:r w:rsidRPr="001F0A71">
        <w:rPr>
          <w:rFonts w:ascii="Times New Roman" w:hAnsi="Times New Roman"/>
          <w:color w:val="000000" w:themeColor="text1"/>
          <w:sz w:val="28"/>
          <w:szCs w:val="28"/>
          <w:lang w:val="uk-UA"/>
        </w:rPr>
        <w:t>ВЧК</w:t>
      </w:r>
      <w:r w:rsidRPr="001F0A71">
        <w:rPr>
          <w:rFonts w:ascii="Times New Roman" w:hAnsi="Times New Roman"/>
          <w:sz w:val="28"/>
          <w:szCs w:val="28"/>
          <w:lang w:val="uk-UA"/>
        </w:rPr>
        <w:t xml:space="preserve">, окрім спроможності препарату покращувати церебральну перфузію, знижувати підвищений ВЧТ, послаблювати процеси нейроцитолізу, нейроапоптозу, нейропроліферації та стероїдної нейротоксичності відносяться його здатність на прикладі гострого періоду САК: ліквідувати енергодефіцит мозку (збільшення вмісту в мозку АТФ, пірувату та покращення енергетичного заряду відносно зразків контрольної патології в середньому відповідно на 45,1, 42,9 та 22,0 %, р&lt;0,05); зменшувати лактат-ацидоз (зменшення вмісту лактату на 31,9 %, р&lt;0,05), оксидативний стрес (зниження рівня малоновогодиальдегіду та КГП в середньому на 30,5 та 18,8 %, на тлі зростання активності СОД, ГПО і </w:t>
      </w:r>
      <w:bookmarkStart w:id="35" w:name="_Hlk51943802"/>
      <w:r w:rsidRPr="001F0A71">
        <w:rPr>
          <w:rFonts w:ascii="Times New Roman" w:hAnsi="Times New Roman"/>
          <w:sz w:val="28"/>
          <w:szCs w:val="28"/>
          <w:lang w:val="uk-UA"/>
        </w:rPr>
        <w:t>каталази</w:t>
      </w:r>
      <w:bookmarkEnd w:id="35"/>
      <w:r w:rsidRPr="001F0A71">
        <w:rPr>
          <w:rFonts w:ascii="Times New Roman" w:hAnsi="Times New Roman"/>
          <w:sz w:val="28"/>
          <w:szCs w:val="28"/>
          <w:lang w:val="uk-UA"/>
        </w:rPr>
        <w:t xml:space="preserve"> відповідно на 42,1, 25,2 та 37,6 %, р&lt;0,05), модулювати обмін монооксиду азоту (підвищення активності NO-синтази при паралельному збільшенні  вмісту донатора NO L-аргініну в середньому відповідно на 14,0 та 44,0 %, р&lt;0,05). За зазначеними властивостями адемол вірогідно перевершував ефективність амантадину та магнію сульфат. За спроможністю послаблювати явище глюкокортикоїдноїнейротоксичності по деескалації сироваткового рівня кортизолу в умовах ВМК адемол вірогідно переважав дієвість німодипіну та амантадину і магнію сульфату в середньому відповідно у 1,51, 1,97 та 2,63 рази, р&lt;0,05.</w:t>
      </w:r>
    </w:p>
    <w:p w:rsidR="001F0A71" w:rsidRPr="001F0A71" w:rsidRDefault="001F0A71" w:rsidP="0069152C">
      <w:pPr>
        <w:spacing w:after="160" w:line="259" w:lineRule="auto"/>
        <w:ind w:firstLine="284"/>
        <w:rPr>
          <w:rFonts w:ascii="Times New Roman" w:hAnsi="Times New Roman"/>
          <w:sz w:val="28"/>
          <w:szCs w:val="28"/>
          <w:lang w:val="uk-UA"/>
        </w:rPr>
      </w:pPr>
      <w:r w:rsidRPr="001F0A71">
        <w:rPr>
          <w:rFonts w:ascii="Times New Roman" w:hAnsi="Times New Roman"/>
          <w:sz w:val="28"/>
          <w:szCs w:val="28"/>
          <w:lang w:val="uk-UA"/>
        </w:rPr>
        <w:br w:type="page"/>
      </w:r>
    </w:p>
    <w:p w:rsidR="001F0A71" w:rsidRPr="001F0A71" w:rsidRDefault="001F0A71" w:rsidP="0069152C">
      <w:pPr>
        <w:pStyle w:val="1"/>
        <w:ind w:firstLine="284"/>
        <w:jc w:val="center"/>
        <w:rPr>
          <w:sz w:val="28"/>
          <w:szCs w:val="28"/>
          <w:lang w:val="uk-UA"/>
        </w:rPr>
      </w:pPr>
      <w:r w:rsidRPr="001F0A71">
        <w:rPr>
          <w:sz w:val="28"/>
          <w:szCs w:val="28"/>
          <w:lang w:val="uk-UA"/>
        </w:rPr>
        <w:lastRenderedPageBreak/>
        <w:t>РОЗДІЛ 7</w:t>
      </w:r>
    </w:p>
    <w:p w:rsidR="001F0A71" w:rsidRPr="00FF14AA" w:rsidRDefault="001F0A71" w:rsidP="0069152C">
      <w:pPr>
        <w:pStyle w:val="a3"/>
        <w:widowControl w:val="0"/>
        <w:tabs>
          <w:tab w:val="left" w:pos="708"/>
        </w:tabs>
        <w:spacing w:line="360" w:lineRule="auto"/>
        <w:ind w:firstLine="284"/>
        <w:jc w:val="center"/>
        <w:rPr>
          <w:rFonts w:ascii="Times New Roman" w:hAnsi="Times New Roman"/>
          <w:b/>
          <w:sz w:val="28"/>
          <w:szCs w:val="28"/>
          <w:lang w:val="uk-UA"/>
        </w:rPr>
      </w:pPr>
      <w:r w:rsidRPr="00FF14AA">
        <w:rPr>
          <w:rFonts w:ascii="Times New Roman" w:hAnsi="Times New Roman"/>
          <w:b/>
          <w:sz w:val="28"/>
          <w:szCs w:val="28"/>
          <w:lang w:val="uk-UA"/>
        </w:rPr>
        <w:t>АНАЛІЗ ТА УЗАГАЛЬНЕННЯ РЕЗУЛЬТАТІВ ДОСЛІДЖЕННЯ</w:t>
      </w:r>
    </w:p>
    <w:p w:rsidR="001F0A71" w:rsidRPr="00FF14AA" w:rsidRDefault="001F0A71" w:rsidP="0069152C">
      <w:pPr>
        <w:widowControl w:val="0"/>
        <w:spacing w:after="0" w:line="360" w:lineRule="auto"/>
        <w:ind w:firstLine="284"/>
        <w:jc w:val="both"/>
        <w:rPr>
          <w:rFonts w:ascii="Times New Roman" w:hAnsi="Times New Roman"/>
          <w:b/>
          <w:sz w:val="28"/>
          <w:szCs w:val="28"/>
          <w:lang w:val="uk-UA"/>
        </w:rPr>
      </w:pPr>
    </w:p>
    <w:p w:rsidR="001F0A71" w:rsidRPr="00FF14AA" w:rsidRDefault="001F0A71" w:rsidP="0069152C">
      <w:pPr>
        <w:pStyle w:val="11"/>
        <w:widowControl w:val="0"/>
        <w:spacing w:line="360" w:lineRule="auto"/>
        <w:ind w:left="0" w:firstLine="284"/>
        <w:jc w:val="both"/>
        <w:rPr>
          <w:sz w:val="28"/>
          <w:szCs w:val="28"/>
          <w:lang w:val="uk-UA"/>
        </w:rPr>
      </w:pPr>
      <w:r w:rsidRPr="00FF14AA">
        <w:rPr>
          <w:sz w:val="28"/>
          <w:szCs w:val="28"/>
          <w:lang w:val="uk-UA"/>
        </w:rPr>
        <w:t xml:space="preserve">Адемол – це лікарський препарат, рецепторна мішень якого описується β-адреноблокувальною активністю та модулювальним впливом на поліаміновий сайт NMDA-рецепторно-іонофорного ансамблю, що формує його основні фармакодинамічні параметри, такі як утеростимулююча, церебро-, кардіо- та актопротекторна, ноотропна, антиамнестична, антигіпоксична, знеболююча, анксіолітична і транквілізуюча дія [11]. Нейропротекторні властивості адемолу на етапі доклінічної оцінки виявлялись на моделях, що є аналогами клінічних форм нейро-судинної патології, а саме </w:t>
      </w:r>
      <w:r>
        <w:rPr>
          <w:sz w:val="28"/>
          <w:szCs w:val="28"/>
          <w:lang w:val="uk-UA"/>
        </w:rPr>
        <w:t>ІІ</w:t>
      </w:r>
      <w:r w:rsidRPr="00FF14AA">
        <w:rPr>
          <w:sz w:val="28"/>
          <w:szCs w:val="28"/>
          <w:lang w:val="uk-UA"/>
        </w:rPr>
        <w:t xml:space="preserve"> та транзиторних ішемічних атак, черепно-мозкової травми. Дієвість адемолу в умовах геморагічних інтракраніальних уражень (САК або ВМК), раніше не вивчались, що і стало об’єктом і предметом даного дослідження.</w:t>
      </w:r>
    </w:p>
    <w:p w:rsidR="001F0A71" w:rsidRPr="00FF14AA" w:rsidRDefault="001F0A71" w:rsidP="0069152C">
      <w:pPr>
        <w:pStyle w:val="11"/>
        <w:widowControl w:val="0"/>
        <w:spacing w:line="360" w:lineRule="auto"/>
        <w:ind w:left="0" w:firstLine="284"/>
        <w:jc w:val="both"/>
        <w:rPr>
          <w:sz w:val="28"/>
          <w:szCs w:val="28"/>
          <w:lang w:val="uk-UA"/>
        </w:rPr>
      </w:pPr>
      <w:r w:rsidRPr="00FF14AA">
        <w:rPr>
          <w:sz w:val="28"/>
          <w:szCs w:val="28"/>
          <w:lang w:val="uk-UA"/>
        </w:rPr>
        <w:t>Оскільки модель ВМК, є валідизованою та широко апробованою із задовільними критеріями до відтворення в типових лабораторних умовах, створювати нову сенсу немає. Таким умовам не відповідають відомі нам моделі САК, тому на першому етапі було вирішено апробувати створену на базі ННДЛ «Фармадар» модель САК, яка б задовольняла всім умовам доклінічної оцінки та розробити критерії класифікації на ступені важкості в залежності від об’єму крові уведеній у субарахноїдальний простір [12</w:t>
      </w:r>
      <w:r w:rsidRPr="00913AE2">
        <w:rPr>
          <w:sz w:val="28"/>
          <w:szCs w:val="28"/>
          <w:lang w:val="uk-UA"/>
        </w:rPr>
        <w:t>9</w:t>
      </w:r>
      <w:r w:rsidRPr="00FF14AA">
        <w:rPr>
          <w:sz w:val="28"/>
          <w:szCs w:val="28"/>
          <w:lang w:val="uk-UA"/>
        </w:rPr>
        <w:t>]</w:t>
      </w:r>
      <w:r>
        <w:rPr>
          <w:sz w:val="28"/>
          <w:szCs w:val="28"/>
          <w:lang w:val="uk-UA"/>
        </w:rPr>
        <w:t>.</w:t>
      </w: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Первинний скринінг церебропротекторної дії у адемолу проведено в умовах експериментального САК, який згідно літературних даних [12</w:t>
      </w:r>
      <w:r w:rsidRPr="00913AE2">
        <w:rPr>
          <w:rFonts w:ascii="Times New Roman" w:hAnsi="Times New Roman"/>
          <w:sz w:val="28"/>
          <w:szCs w:val="28"/>
          <w:lang w:val="uk-UA"/>
        </w:rPr>
        <w:t>8</w:t>
      </w:r>
      <w:r w:rsidRPr="00FF14AA">
        <w:rPr>
          <w:rFonts w:ascii="Times New Roman" w:hAnsi="Times New Roman"/>
          <w:sz w:val="28"/>
          <w:szCs w:val="28"/>
          <w:lang w:val="uk-UA"/>
        </w:rPr>
        <w:t>], на відміну від ВМК важкого ступеня тяжкості, спричиненого введенням у внутрішню капсулу головного мозку аутокрові, відзначається більш агресивним перебігом, а прогноз виживаності несприятливий. Саме такі жорсткі умови, є сприятливими для виявлення протекторної дії на головний мозок у тестованого препарату, або біологічно-активної сполуки, оскільки відсутність масштабного ураження ЦНС не дає змогу повною мірою та повноцінно виявити факт наявності чи відсутності нейропротекторної активності, як такої.</w:t>
      </w: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lastRenderedPageBreak/>
        <w:t xml:space="preserve">Таким чином, характеризуючи результати проведеного дослідження присвяченого скринінгу церебропротекторної активності з подальшою оцінкою ступеня виразності цього ефекту у промислового зразка розчину адемолу, порівняно із референсними препаратами німодипіном, амантадином або магнію сульфату на двох моделях </w:t>
      </w:r>
      <w:r>
        <w:rPr>
          <w:rFonts w:ascii="Times New Roman" w:hAnsi="Times New Roman"/>
          <w:sz w:val="28"/>
          <w:szCs w:val="28"/>
          <w:lang w:val="uk-UA"/>
        </w:rPr>
        <w:t>ГІ</w:t>
      </w:r>
      <w:r w:rsidRPr="00FF14AA">
        <w:rPr>
          <w:rFonts w:ascii="Times New Roman" w:hAnsi="Times New Roman"/>
          <w:sz w:val="28"/>
          <w:szCs w:val="28"/>
          <w:lang w:val="uk-UA"/>
        </w:rPr>
        <w:t xml:space="preserve">, а саме </w:t>
      </w:r>
      <w:r>
        <w:rPr>
          <w:rFonts w:ascii="Times New Roman" w:hAnsi="Times New Roman"/>
          <w:sz w:val="28"/>
          <w:szCs w:val="28"/>
          <w:lang w:val="uk-UA"/>
        </w:rPr>
        <w:t>САК</w:t>
      </w:r>
      <w:r w:rsidRPr="00FF14AA">
        <w:rPr>
          <w:rFonts w:ascii="Times New Roman" w:hAnsi="Times New Roman"/>
          <w:sz w:val="28"/>
          <w:szCs w:val="28"/>
          <w:lang w:val="uk-UA"/>
        </w:rPr>
        <w:t xml:space="preserve"> та </w:t>
      </w:r>
      <w:r>
        <w:rPr>
          <w:rFonts w:ascii="Times New Roman" w:hAnsi="Times New Roman"/>
          <w:sz w:val="28"/>
          <w:szCs w:val="28"/>
          <w:lang w:val="uk-UA"/>
        </w:rPr>
        <w:t>ВМК,</w:t>
      </w:r>
      <w:r w:rsidRPr="00FF14AA">
        <w:rPr>
          <w:rFonts w:ascii="Times New Roman" w:hAnsi="Times New Roman"/>
          <w:sz w:val="28"/>
          <w:szCs w:val="28"/>
          <w:lang w:val="uk-UA"/>
        </w:rPr>
        <w:t xml:space="preserve"> можна зробити висновок, що досліджуваному похідному адамантану притаманний виразний захисний вплив на ішемізований головний мозок. За своєю ефективністю адемол умовно-ефективною дозою 2 мг/кг довенно вірогідно переважав розчини магнію сульфату, амантадину сульфату (48 год ВМК), не поступаючись німодипіну. При експериментальному САК у щурів, застосування 1,0 % розчину 1-адамантилетилокси-3-морфоліно-2-пропанолу гідрохлориду (адемол) у діапазоні доз від 1 до 5 мг/кг сприяло підвищенню виживаності щурів, яке мало для всіх досліджуваних доз вірогідне (р&lt;0,05) значення на 72 год інсульту. За інфузіїадемолу із розрахунку 1 або 5 мг/кг летальність зменшилась в середньому на 60</w:t>
      </w:r>
      <w:r w:rsidR="002479BC">
        <w:rPr>
          <w:rFonts w:ascii="Times New Roman" w:hAnsi="Times New Roman"/>
          <w:sz w:val="28"/>
          <w:szCs w:val="28"/>
          <w:lang w:val="uk-UA"/>
        </w:rPr>
        <w:t>%</w:t>
      </w:r>
      <w:r w:rsidRPr="00FF14AA">
        <w:rPr>
          <w:rFonts w:ascii="Times New Roman" w:hAnsi="Times New Roman"/>
          <w:sz w:val="28"/>
          <w:szCs w:val="28"/>
          <w:lang w:val="uk-UA"/>
        </w:rPr>
        <w:t>, а при застосуванні 2 мг/кг на 70 % відповідно і за своєю ефективністю співставлялась із німодипіном (30 мкг/кг), перевершуючи ефективність амантадину сульфату (48 год ВМК) та магнію сульфат</w:t>
      </w:r>
      <w:r w:rsidR="002479BC">
        <w:rPr>
          <w:rFonts w:ascii="Times New Roman" w:hAnsi="Times New Roman"/>
          <w:sz w:val="28"/>
          <w:szCs w:val="28"/>
          <w:lang w:val="uk-UA"/>
        </w:rPr>
        <w:t>у</w:t>
      </w:r>
      <w:r w:rsidRPr="00FF14AA">
        <w:rPr>
          <w:rFonts w:ascii="Times New Roman" w:hAnsi="Times New Roman"/>
          <w:sz w:val="28"/>
          <w:szCs w:val="28"/>
          <w:lang w:val="uk-UA"/>
        </w:rPr>
        <w:t xml:space="preserve"> у всі періоди спостереження [1</w:t>
      </w:r>
      <w:r w:rsidRPr="00913AE2">
        <w:rPr>
          <w:rFonts w:ascii="Times New Roman" w:hAnsi="Times New Roman"/>
          <w:sz w:val="28"/>
          <w:szCs w:val="28"/>
          <w:lang w:val="uk-UA"/>
        </w:rPr>
        <w:t>30</w:t>
      </w:r>
      <w:r w:rsidRPr="00FF14AA">
        <w:rPr>
          <w:rFonts w:ascii="Times New Roman" w:hAnsi="Times New Roman"/>
          <w:sz w:val="28"/>
          <w:szCs w:val="28"/>
          <w:lang w:val="uk-UA"/>
        </w:rPr>
        <w:t>].</w:t>
      </w: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Сумарними, підсумковими показниками, що дозволяють оцінити якість захисної дії потенційного нейропротектора на ішемізований головний мозок в умовах </w:t>
      </w:r>
      <w:r>
        <w:rPr>
          <w:rFonts w:ascii="Times New Roman" w:hAnsi="Times New Roman"/>
          <w:sz w:val="28"/>
          <w:szCs w:val="28"/>
          <w:lang w:val="uk-UA"/>
        </w:rPr>
        <w:t>ВЧК</w:t>
      </w:r>
      <w:r w:rsidRPr="00FF14AA">
        <w:rPr>
          <w:rFonts w:ascii="Times New Roman" w:hAnsi="Times New Roman"/>
          <w:sz w:val="28"/>
          <w:szCs w:val="28"/>
          <w:lang w:val="uk-UA"/>
        </w:rPr>
        <w:t>, окрім його впливу на виживаність тварин, є покращання неврологічного статусу в динаміці, що проявляється регресом неврологічного дефіциту та збереженням мнемотропної активності. Саме тому за динамікою неврологічного статусу тварин, було доцільним дати порівняльну оцінку впливу терапії адемолом та референс-препаратами в умовах різних підтипів геморагічного інсульту.</w:t>
      </w:r>
    </w:p>
    <w:p w:rsidR="001F0A71" w:rsidRPr="00FF14AA" w:rsidRDefault="001F0A71" w:rsidP="0069152C">
      <w:pPr>
        <w:widowControl w:val="0"/>
        <w:tabs>
          <w:tab w:val="left" w:pos="1276"/>
          <w:tab w:val="left" w:pos="1701"/>
        </w:tabs>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За виявленим неврологічним дефіцитом у критичний період САК можна побудувати наступний варіаційним ряд в порядку наростання балів за шкалою С.Р. McGraw, що віддзеркалює величину нейропротекторної активності. Чим лівіше (ближче до групи псевдооперованих щурів) розташовується препарат, тим вищий у нього захисний вплив на головний мозок: псевдооперовані щури &gt;адемол&gt;німодипін = амантадину сульфат &gt; магнію сульфат. </w:t>
      </w:r>
    </w:p>
    <w:p w:rsidR="001F0A71" w:rsidRPr="00FF14AA" w:rsidRDefault="001F0A71" w:rsidP="0069152C">
      <w:pPr>
        <w:widowControl w:val="0"/>
        <w:shd w:val="clear" w:color="auto" w:fill="FFFFFF"/>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lastRenderedPageBreak/>
        <w:t>Результати 21-но денної терапії САК, похідним адамантану засвідчили, що за ступенем деескалації неврологічної симптоматики адемол вірогідно переважав ефективність розчинів амантадину та магнію сульфату в середньом</w:t>
      </w:r>
      <w:r w:rsidR="002479BC">
        <w:rPr>
          <w:rFonts w:ascii="Times New Roman" w:hAnsi="Times New Roman"/>
          <w:sz w:val="28"/>
          <w:szCs w:val="28"/>
          <w:lang w:val="uk-UA"/>
        </w:rPr>
        <w:t xml:space="preserve">у у 1,34 та 1,51 рази </w:t>
      </w:r>
      <w:r w:rsidRPr="00FF14AA">
        <w:rPr>
          <w:rFonts w:ascii="Times New Roman" w:hAnsi="Times New Roman"/>
          <w:sz w:val="28"/>
          <w:szCs w:val="28"/>
          <w:lang w:val="uk-UA"/>
        </w:rPr>
        <w:t>, а варіаційний ряд тотожний із таким, що мав місце на 4-ту добу ВМК.</w:t>
      </w:r>
    </w:p>
    <w:p w:rsidR="001F0A71" w:rsidRPr="00FF14AA" w:rsidRDefault="001F0A71" w:rsidP="0069152C">
      <w:pPr>
        <w:widowControl w:val="0"/>
        <w:tabs>
          <w:tab w:val="left" w:pos="1276"/>
          <w:tab w:val="left" w:pos="1701"/>
        </w:tabs>
        <w:spacing w:after="0" w:line="360" w:lineRule="auto"/>
        <w:ind w:firstLine="284"/>
        <w:jc w:val="both"/>
        <w:rPr>
          <w:rFonts w:ascii="Times New Roman" w:hAnsi="Times New Roman"/>
          <w:b/>
          <w:sz w:val="28"/>
          <w:szCs w:val="28"/>
          <w:lang w:val="uk-UA"/>
        </w:rPr>
      </w:pPr>
      <w:r w:rsidRPr="00FF14AA">
        <w:rPr>
          <w:rFonts w:ascii="Times New Roman" w:hAnsi="Times New Roman"/>
          <w:sz w:val="28"/>
          <w:szCs w:val="28"/>
          <w:lang w:val="uk-UA"/>
        </w:rPr>
        <w:t>Згідно отриманих даних стосовно мнемотропної активності, традиційно можна побудувати наступний варіаційним ряд в порядку змішання латентного періоду входу в темну камеру, що віддзеркалює величину ноотропного ефекту, який є складовою церебропротекторної дії. Як і в попередніх випадках, проілюстрованих вище, чим лівіше (ближче до групи псевдооперованих щурів) розташовується препарат, тим вищий у нього захисний вплив на головний мозок: псевдооперовані щури &gt;адемол&gt;німодипін&gt;амантадину сульфат &gt; магнію сульфат.</w:t>
      </w: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Резюмуючи отримані дані стосовно впливу досліджуваних церебропротекторів на динаміку поліпшення неврологічного статусу та відновлення мнестичних функцій у щурів із модельним САК або ВМК можна зробити висновок, що за своєю ефективністю адемол умовно-терапевтичною дозою 2 мг/кг довенно вірогідно переважав дієвість амантадину та магнію сульфату, співставлючись при цьому з німодипіном. При цьому, за ноотропною активністю в тесті УРПУ, адемол вірогідно перевершував усі референсні препарати, у тому числі і німодипін [</w:t>
      </w:r>
      <w:r w:rsidRPr="00FF14AA">
        <w:rPr>
          <w:rFonts w:ascii="Times New Roman" w:hAnsi="Times New Roman"/>
          <w:sz w:val="28"/>
          <w:szCs w:val="28"/>
        </w:rPr>
        <w:t>15</w:t>
      </w:r>
      <w:r w:rsidRPr="00913AE2">
        <w:rPr>
          <w:rFonts w:ascii="Times New Roman" w:hAnsi="Times New Roman"/>
          <w:sz w:val="28"/>
          <w:szCs w:val="28"/>
        </w:rPr>
        <w:t>2</w:t>
      </w:r>
      <w:r w:rsidRPr="00FF14AA">
        <w:rPr>
          <w:rFonts w:ascii="Times New Roman" w:hAnsi="Times New Roman"/>
          <w:sz w:val="28"/>
          <w:szCs w:val="28"/>
          <w:lang w:val="uk-UA"/>
        </w:rPr>
        <w:t>].</w:t>
      </w:r>
    </w:p>
    <w:p w:rsidR="001F0A71" w:rsidRPr="00FF14AA" w:rsidRDefault="001F0A71" w:rsidP="0069152C">
      <w:pPr>
        <w:widowControl w:val="0"/>
        <w:spacing w:after="0" w:line="360" w:lineRule="auto"/>
        <w:ind w:firstLine="284"/>
        <w:jc w:val="both"/>
        <w:rPr>
          <w:rFonts w:ascii="Times New Roman" w:hAnsi="Times New Roman"/>
          <w:color w:val="398AB5"/>
          <w:sz w:val="28"/>
          <w:szCs w:val="28"/>
          <w:lang w:val="uk-UA"/>
        </w:rPr>
      </w:pPr>
      <w:r w:rsidRPr="00FF14AA">
        <w:rPr>
          <w:rFonts w:ascii="Times New Roman" w:hAnsi="Times New Roman"/>
          <w:sz w:val="28"/>
          <w:szCs w:val="28"/>
          <w:lang w:val="uk-UA"/>
        </w:rPr>
        <w:t xml:space="preserve">Відомо, що провідними механізмами в патогенезі розвитку САК поряд із </w:t>
      </w:r>
      <w:r w:rsidRPr="00FF14AA">
        <w:rPr>
          <w:rFonts w:ascii="Times New Roman" w:eastAsia="Calibri" w:hAnsi="Times New Roman"/>
          <w:bCs/>
          <w:sz w:val="28"/>
          <w:szCs w:val="28"/>
          <w:lang w:val="uk-UA"/>
        </w:rPr>
        <w:t>розладами загальної та церебральної гемодинаміки, виступають реакції запалення, набряку, а також зміна фізико-хімічних властивостей крові, зокрема, агрегації формених елементів, в’язкості, та ін. [</w:t>
      </w:r>
      <w:r w:rsidRPr="00FF14AA">
        <w:rPr>
          <w:rFonts w:ascii="Times New Roman" w:hAnsi="Times New Roman"/>
          <w:sz w:val="28"/>
          <w:szCs w:val="28"/>
          <w:lang w:val="uk-UA"/>
        </w:rPr>
        <w:t>163-167</w:t>
      </w:r>
      <w:r w:rsidRPr="00FF14AA">
        <w:rPr>
          <w:rFonts w:ascii="Times New Roman" w:eastAsia="Calibri" w:hAnsi="Times New Roman"/>
          <w:bCs/>
          <w:sz w:val="28"/>
          <w:szCs w:val="28"/>
          <w:lang w:val="uk-UA"/>
        </w:rPr>
        <w:t xml:space="preserve">] Провідне місце посідає </w:t>
      </w:r>
      <w:r w:rsidRPr="00FF14AA">
        <w:rPr>
          <w:rFonts w:ascii="Times New Roman" w:hAnsi="Times New Roman"/>
          <w:sz w:val="28"/>
          <w:szCs w:val="28"/>
          <w:lang w:val="uk-UA"/>
        </w:rPr>
        <w:t>рефлекторний вазоспазм, особливо судин кори басейну середньої мозкової артерії, що призводить до формування тотальної церебральної ішемії та масивної нейродеструкції [168</w:t>
      </w:r>
      <w:r w:rsidRPr="00DC3EE7">
        <w:rPr>
          <w:rFonts w:ascii="Times New Roman" w:hAnsi="Times New Roman"/>
          <w:sz w:val="28"/>
          <w:szCs w:val="28"/>
          <w:lang w:val="uk-UA"/>
        </w:rPr>
        <w:t>–</w:t>
      </w:r>
      <w:r w:rsidRPr="00FF14AA">
        <w:rPr>
          <w:rFonts w:ascii="Times New Roman" w:hAnsi="Times New Roman"/>
          <w:sz w:val="28"/>
          <w:szCs w:val="28"/>
          <w:lang w:val="uk-UA"/>
        </w:rPr>
        <w:t xml:space="preserve">170]. Серед багатьох механізмів захисної дії деяких церебропротекторних засобів, які використовуються для лікування гострої церебральної ішемії, зокрема в умовах </w:t>
      </w:r>
      <w:r>
        <w:rPr>
          <w:rFonts w:ascii="Times New Roman" w:hAnsi="Times New Roman"/>
          <w:sz w:val="28"/>
          <w:szCs w:val="28"/>
          <w:lang w:val="uk-UA"/>
        </w:rPr>
        <w:t>ВЧК</w:t>
      </w:r>
      <w:r w:rsidRPr="00FF14AA">
        <w:rPr>
          <w:rFonts w:ascii="Times New Roman" w:hAnsi="Times New Roman"/>
          <w:sz w:val="28"/>
          <w:szCs w:val="28"/>
          <w:lang w:val="uk-UA"/>
        </w:rPr>
        <w:t>, провідне місце посідає спроможність препарату покращувати мозковий кровообіг за рахунок ліквідації, або послаблення вазоконстрикторних реакцій [171</w:t>
      </w:r>
      <w:r w:rsidRPr="00DC3EE7">
        <w:rPr>
          <w:rFonts w:ascii="Times New Roman" w:hAnsi="Times New Roman"/>
          <w:sz w:val="28"/>
          <w:szCs w:val="28"/>
          <w:lang w:val="uk-UA"/>
        </w:rPr>
        <w:t>–</w:t>
      </w:r>
      <w:r w:rsidRPr="00FF14AA">
        <w:rPr>
          <w:rFonts w:ascii="Times New Roman" w:hAnsi="Times New Roman"/>
          <w:sz w:val="28"/>
          <w:szCs w:val="28"/>
          <w:lang w:val="uk-UA"/>
        </w:rPr>
        <w:t xml:space="preserve">174]. У попередніх дослідженнях, нами продемонстровано та доведено наявність у адемолустимулювальної дії на мозковий </w:t>
      </w:r>
      <w:r w:rsidRPr="00FF14AA">
        <w:rPr>
          <w:rFonts w:ascii="Times New Roman" w:hAnsi="Times New Roman"/>
          <w:sz w:val="28"/>
          <w:szCs w:val="28"/>
          <w:lang w:val="uk-UA"/>
        </w:rPr>
        <w:lastRenderedPageBreak/>
        <w:t xml:space="preserve">кровоплин в басейні внутрішньої сонної артерії при ГПМК за ішемічним типом [12,107,116,175]. Отримані дані стали підґрунтям для вивчення впливу адемолу на церебральну гемодинаміку в корі головного мозку при </w:t>
      </w:r>
      <w:r>
        <w:rPr>
          <w:rFonts w:ascii="Times New Roman" w:hAnsi="Times New Roman"/>
          <w:sz w:val="28"/>
          <w:szCs w:val="28"/>
          <w:lang w:val="uk-UA"/>
        </w:rPr>
        <w:t>ВЧК</w:t>
      </w:r>
      <w:r w:rsidRPr="00FF14AA">
        <w:rPr>
          <w:rFonts w:ascii="Times New Roman" w:hAnsi="Times New Roman"/>
          <w:sz w:val="28"/>
          <w:szCs w:val="28"/>
          <w:lang w:val="uk-UA"/>
        </w:rPr>
        <w:t xml:space="preserve"> як одного із можливих механізмів його нейропротекторної дії.</w:t>
      </w: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Отож, резюмуючи отримані результати можна зробити наступні послідовні висновки. Введення у попередньо </w:t>
      </w:r>
      <w:r w:rsidRPr="00FF14AA">
        <w:rPr>
          <w:rFonts w:ascii="Times New Roman" w:eastAsia="TimesNewRomanPSMT" w:hAnsi="Times New Roman"/>
          <w:sz w:val="28"/>
          <w:szCs w:val="28"/>
          <w:lang w:val="uk-UA"/>
        </w:rPr>
        <w:t>катетеризований субарахноїдальний простір гепаринізованоїаутокрові об’ємом 0,1 мл/100 г</w:t>
      </w:r>
      <w:r w:rsidRPr="00FF14AA">
        <w:rPr>
          <w:rFonts w:ascii="Times New Roman" w:hAnsi="Times New Roman"/>
          <w:sz w:val="28"/>
          <w:szCs w:val="28"/>
          <w:lang w:val="uk-UA"/>
        </w:rPr>
        <w:t xml:space="preserve"> у перші 96 год супроводжується двократним зменшенням рівня кортикального кровоплину головного мозку. Курсова інфузія щурам із модельним </w:t>
      </w:r>
      <w:r>
        <w:rPr>
          <w:rFonts w:ascii="Times New Roman" w:hAnsi="Times New Roman"/>
          <w:sz w:val="28"/>
          <w:szCs w:val="28"/>
          <w:lang w:val="uk-UA"/>
        </w:rPr>
        <w:t>ВЧК</w:t>
      </w:r>
      <w:r w:rsidRPr="00FF14AA">
        <w:rPr>
          <w:rFonts w:ascii="Times New Roman" w:hAnsi="Times New Roman"/>
          <w:sz w:val="28"/>
          <w:szCs w:val="28"/>
          <w:lang w:val="uk-UA"/>
        </w:rPr>
        <w:t xml:space="preserve"> 1,0 % розчину адемолу та референс-препарату німодипіпіну дозами відповідно 2 мг/кг та 30 мкг/кг сприяло збільшенню в середній мозковій артерії об’ємної швидкості мозкового кровоплину, амортизувала падіння кортикальної перфузії, стабілізуючи її рівень на значеннях мікроциркуляції більших за такі у групі контрольної патології в середньому в 3,99 та 2,76 рази (ВМК) і у 7,30 та 4,74 разу відповідно при САК, р&lt;0,05 [13</w:t>
      </w:r>
      <w:r w:rsidRPr="00913AE2">
        <w:rPr>
          <w:rFonts w:ascii="Times New Roman" w:hAnsi="Times New Roman"/>
          <w:sz w:val="28"/>
          <w:szCs w:val="28"/>
          <w:lang w:val="uk-UA"/>
        </w:rPr>
        <w:t>1</w:t>
      </w:r>
      <w:r w:rsidRPr="00FF14AA">
        <w:rPr>
          <w:rFonts w:ascii="Times New Roman" w:hAnsi="Times New Roman"/>
          <w:sz w:val="28"/>
          <w:szCs w:val="28"/>
          <w:lang w:val="uk-UA"/>
        </w:rPr>
        <w:t xml:space="preserve">]. </w:t>
      </w: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eastAsia="TimesNewRomanPSMT" w:hAnsi="Times New Roman"/>
          <w:sz w:val="28"/>
          <w:szCs w:val="28"/>
          <w:lang w:val="uk-UA"/>
        </w:rPr>
        <w:t>Ч</w:t>
      </w:r>
      <w:r w:rsidRPr="00FF14AA">
        <w:rPr>
          <w:rFonts w:ascii="Times New Roman" w:hAnsi="Times New Roman"/>
          <w:sz w:val="28"/>
          <w:szCs w:val="28"/>
          <w:lang w:val="uk-UA"/>
        </w:rPr>
        <w:t xml:space="preserve">ерепна коробка являє собою замкнуту систему, в якій оповитий м’якою та твердою оболонками міститься головний мозок. В підпавутинному просторі знаходиться ліквор, який перебуває під постійним тиском, виконуючи трофічну та амортизуючу функцію. Продукується він судинними сплетеннями четвертого шлуночка мозку. Сталість ВЧТ забезпечується динамічною рівновагою між кількістю утвореного та резорбованого ліквору, а також постійністю просторових координат в яких він циркулює. Ішемічно-гіпоксичне ураження головного мозку, будь-якого ґенезу (інсульт, травма тощо), неодмінно призводить до зростання ВЧТ внаслідок розбалансування між утворенням та всмоктуванням ліквору в бік першого, що супроводжується набряком-набуханням мозку. Навіть при незначному зростанні ВЧТ, ліквор тисне на мозок, що неодмінно призводить до транслокації або його, або окремих структур. Логічно, що відкрита черепно-мозкова травма за рахунок порушення цілісності черепних покривів призводить до ліквореї, маючи більш сприятливий перебіг ніж закрита. Аналогічним чином, </w:t>
      </w:r>
      <w:r>
        <w:rPr>
          <w:rFonts w:ascii="Times New Roman" w:hAnsi="Times New Roman"/>
          <w:sz w:val="28"/>
          <w:szCs w:val="28"/>
          <w:lang w:val="uk-UA"/>
        </w:rPr>
        <w:t>ІІ</w:t>
      </w:r>
      <w:r w:rsidRPr="00FF14AA">
        <w:rPr>
          <w:rFonts w:ascii="Times New Roman" w:hAnsi="Times New Roman"/>
          <w:sz w:val="28"/>
          <w:szCs w:val="28"/>
          <w:lang w:val="uk-UA"/>
        </w:rPr>
        <w:t xml:space="preserve"> та ВМК без тенденції до наростання свого первинного об’єму, внаслідок мінімальних зрушень у ліквородинаміці асоціюються із відносно кращим прогнозом ніж потрапляння крові </w:t>
      </w:r>
      <w:r w:rsidRPr="00FF14AA">
        <w:rPr>
          <w:rFonts w:ascii="Times New Roman" w:hAnsi="Times New Roman"/>
          <w:sz w:val="28"/>
          <w:szCs w:val="28"/>
          <w:lang w:val="uk-UA"/>
        </w:rPr>
        <w:lastRenderedPageBreak/>
        <w:t>у субарахноїдальний простір (субарахноїдальний крововилив). Останній випадок, завжди супряжений із суттєвим підвищенням ВЧТ за рахунок крові у лікворі, і чим більший об’єм останньої, тим вищі цифри ВЧТ, і тим гірший прогноз для пацієнта. У більш</w:t>
      </w:r>
      <w:r w:rsidR="002479BC">
        <w:rPr>
          <w:rFonts w:ascii="Times New Roman" w:hAnsi="Times New Roman"/>
          <w:sz w:val="28"/>
          <w:szCs w:val="28"/>
          <w:lang w:val="uk-UA"/>
        </w:rPr>
        <w:t xml:space="preserve"> пізній (відновний) період САК</w:t>
      </w:r>
      <w:r w:rsidRPr="00FF14AA">
        <w:rPr>
          <w:rFonts w:ascii="Times New Roman" w:hAnsi="Times New Roman"/>
          <w:sz w:val="28"/>
          <w:szCs w:val="28"/>
          <w:lang w:val="uk-UA"/>
        </w:rPr>
        <w:t xml:space="preserve"> ут</w:t>
      </w:r>
      <w:r w:rsidR="002479BC">
        <w:rPr>
          <w:rFonts w:ascii="Times New Roman" w:hAnsi="Times New Roman"/>
          <w:sz w:val="28"/>
          <w:szCs w:val="28"/>
          <w:lang w:val="uk-UA"/>
        </w:rPr>
        <w:t>ворюються септи, котрі додатково</w:t>
      </w:r>
      <w:r w:rsidRPr="00FF14AA">
        <w:rPr>
          <w:rFonts w:ascii="Times New Roman" w:hAnsi="Times New Roman"/>
          <w:sz w:val="28"/>
          <w:szCs w:val="28"/>
          <w:lang w:val="uk-UA"/>
        </w:rPr>
        <w:t xml:space="preserve"> порушують лікворообіг та сприяють сталості високих цифр ВЧТ. Таким чином, із патогенетичної точки зору, одним із альтеруючих чинників при САК є підвищений ВЧК. Пряма пошкоджуючи дія останнього</w:t>
      </w:r>
      <w:r w:rsidR="009E276A">
        <w:rPr>
          <w:rFonts w:ascii="Times New Roman" w:hAnsi="Times New Roman"/>
          <w:sz w:val="28"/>
          <w:szCs w:val="28"/>
          <w:lang w:val="uk-UA"/>
        </w:rPr>
        <w:t xml:space="preserve"> пов’язана із тим, що, по-перше:</w:t>
      </w:r>
      <w:r w:rsidRPr="00FF14AA">
        <w:rPr>
          <w:rFonts w:ascii="Times New Roman" w:hAnsi="Times New Roman"/>
          <w:sz w:val="28"/>
          <w:szCs w:val="28"/>
          <w:lang w:val="uk-UA"/>
        </w:rPr>
        <w:t xml:space="preserve"> ліквор під все більш наростаючим тиском безпосередньо баростатично деструктивним чином впливає на нейрони</w:t>
      </w:r>
      <w:r w:rsidR="009E276A">
        <w:rPr>
          <w:rFonts w:ascii="Times New Roman" w:hAnsi="Times New Roman"/>
          <w:sz w:val="28"/>
          <w:szCs w:val="28"/>
          <w:lang w:val="uk-UA"/>
        </w:rPr>
        <w:t>. По –друг:</w:t>
      </w:r>
      <w:r w:rsidRPr="00FF14AA">
        <w:rPr>
          <w:rFonts w:ascii="Times New Roman" w:hAnsi="Times New Roman"/>
          <w:sz w:val="28"/>
          <w:szCs w:val="28"/>
          <w:lang w:val="uk-UA"/>
        </w:rPr>
        <w:t xml:space="preserve"> із крові виділяються біологічно-активні речовини, дія яких направлена на вазоконстриктцію з метою припинення крововиливу через уражену судину. От тільки така вазоконстрикція, носить не однойменний характер відносно судини винуватиці мозкової катастрофи, а має тотальний характер, залучаючи всі церебральні капіляри артеріального типу, спричиняючи тим самим тотальну ішемію мозку. Цьому, також сприяє факт безпосереднього перетискання ззовні артеріол мозку гематомою, рідкою кров’ю, або надмірною кількістю ліквора під тиском. Свою роль у формуванні підвищеного ВЧТ відіграє венозний стаз, колабування венозного тонусу (атонія вен), застій крові у венозних синусах та мальпігієвих судинах. З одного боку, це зменшує об’єм та утруднює резорбцію ліквору підпавутинними сплетеннями, а з іншого, зростання гідростатичного тиску та від’ємна різниця між його значеннями на межі: артеріальний кінець – венозне коліно, сприяє виходу рідкої частини плазми у міжнейрональний простір, діапедезу еритроцитів та завершується формуванням феномену набряку-набухання мозку. У важких випадках (тяжкий САК) діапедез еритроцитів супроводжується імбібіцією останніми тканини мозку з утворенням вогнищ ВМК. Феномен набряку-набухання складається із двох, на перший погляд, схожих процесів набряку та набухання. Проте, набряк – це накопичення рідини (транссудату) у міжнейрональному просторі. На противагу цьому, набухання торкається виключно внутрішньоклітинного простору, супроводжується збільшенням об’єму нейронів внаслідок порушення проникності зовнішньої мембрани та дисонансу в роботі іонних насосів. В основному, мембранні зміни </w:t>
      </w:r>
      <w:r w:rsidRPr="00FF14AA">
        <w:rPr>
          <w:rFonts w:ascii="Times New Roman" w:hAnsi="Times New Roman"/>
          <w:sz w:val="28"/>
          <w:szCs w:val="28"/>
          <w:lang w:val="uk-UA"/>
        </w:rPr>
        <w:lastRenderedPageBreak/>
        <w:t>асоційовано із оксидативним стресом та явищами ліпопероксидації, які відбуваються саме в мембранах.</w:t>
      </w:r>
    </w:p>
    <w:p w:rsidR="001F0A71" w:rsidRPr="00FF14AA" w:rsidRDefault="001F0A71" w:rsidP="0069152C">
      <w:pPr>
        <w:pStyle w:val="-1"/>
        <w:widowControl w:val="0"/>
        <w:spacing w:line="360" w:lineRule="auto"/>
        <w:ind w:firstLine="284"/>
        <w:rPr>
          <w:sz w:val="28"/>
          <w:szCs w:val="28"/>
          <w:lang w:val="uk-UA"/>
        </w:rPr>
      </w:pPr>
      <w:r w:rsidRPr="00FF14AA">
        <w:rPr>
          <w:sz w:val="28"/>
          <w:szCs w:val="28"/>
          <w:lang w:val="uk-UA"/>
        </w:rPr>
        <w:t>Для повноцінної функціональної оцінки величини нейропротекторної активності адемолу при САК необхідно обов’язково з’ясувати, яким чином він впливає на показник ВЧТ у цих конкретних умовах. Покращення мозкового кровоплину та зменшення секвестрації крові, особливо у венулах м'якої мозкової оболонки та задовільний кровобіг через мальпігієві судини, що анастомозують кору із підкірковими капілярами, послаблюють набряк-набухання мозку та гіперпродукцію ліквору. Все це, очевидно, має сприяти зменшенню ВЧТ, що само по собі буде ліквідувати надмірний тиск ліквору на арахноїдальні судини та капіляри кори. Встановлено, що лікувальне введення адемолу в організм щурів із САК важкого ступеня сприяє зменшенню ВЧТ відносно тварин групи контрольної патології в середньому в у 2,88 рази. Паралельно, терапія референснимнімодипіном, який за величиною своїх нейропротектоних якостей, із поміж інших препаратів порівняння, найбільшою мірою співвідноситься із адемолом, сприяє деескалації цього показника гірше ніж адамантан, поступаючись останньому в середньому у 1,27 рази, р&lt;0,05 [176].</w:t>
      </w:r>
    </w:p>
    <w:p w:rsidR="001F0A71" w:rsidRPr="00FF14AA" w:rsidRDefault="001F0A71" w:rsidP="0069152C">
      <w:pPr>
        <w:pStyle w:val="-1"/>
        <w:widowControl w:val="0"/>
        <w:spacing w:line="360" w:lineRule="auto"/>
        <w:ind w:firstLine="284"/>
        <w:rPr>
          <w:bCs/>
          <w:sz w:val="28"/>
          <w:szCs w:val="28"/>
          <w:lang w:val="uk-UA"/>
        </w:rPr>
      </w:pPr>
      <w:r w:rsidRPr="00FF14AA">
        <w:rPr>
          <w:sz w:val="28"/>
          <w:szCs w:val="28"/>
          <w:lang w:val="uk-UA"/>
        </w:rPr>
        <w:t>На нашу думку, поєднання лікворогіпотензивного ефекту адемолу, який сягає достовірних значень, з описаними раніше церебропротекторними властивостями та стимулювально дією на мозковий кровоплин [107,11</w:t>
      </w:r>
      <w:r w:rsidRPr="00913AE2">
        <w:rPr>
          <w:sz w:val="28"/>
          <w:szCs w:val="28"/>
          <w:lang w:val="uk-UA"/>
        </w:rPr>
        <w:t>9</w:t>
      </w:r>
      <w:r w:rsidRPr="00FF14AA">
        <w:rPr>
          <w:sz w:val="28"/>
          <w:szCs w:val="28"/>
          <w:lang w:val="uk-UA"/>
        </w:rPr>
        <w:t>], вигідно відрізняють цей лікарський засіб поміж інших препаратів із аналогічною спрямованістю. Зазначені якості є особливо цінними в ургентній неврологічній практиці, де від швидкості та якості стабілізації підвищеного ВЧТ і захисту мозку від постреперфузійних уражень залежить подальше якісне функціонування останнього.</w:t>
      </w:r>
    </w:p>
    <w:p w:rsidR="001F0A71" w:rsidRPr="00FF14AA" w:rsidRDefault="001F0A71" w:rsidP="0069152C">
      <w:pPr>
        <w:spacing w:after="0" w:line="360" w:lineRule="auto"/>
        <w:ind w:firstLine="284"/>
        <w:jc w:val="both"/>
        <w:rPr>
          <w:rFonts w:ascii="Times New Roman" w:hAnsi="Times New Roman"/>
          <w:color w:val="000000"/>
          <w:sz w:val="28"/>
          <w:szCs w:val="28"/>
          <w:shd w:val="clear" w:color="auto" w:fill="FFFFFF"/>
          <w:lang w:val="uk-UA"/>
        </w:rPr>
      </w:pPr>
      <w:r w:rsidRPr="00FF14AA">
        <w:rPr>
          <w:rFonts w:ascii="Times New Roman" w:hAnsi="Times New Roman"/>
          <w:sz w:val="28"/>
          <w:szCs w:val="28"/>
          <w:lang w:val="uk-UA"/>
        </w:rPr>
        <w:t>Відомо,  що за своєю структурою молекула адемолу  має подібність до відомого β-адреноблокаторапропранололу, що давало змогу до певної міри пояснювати його кардіопротекторну</w:t>
      </w:r>
      <w:r w:rsidR="002E56E6">
        <w:rPr>
          <w:rFonts w:ascii="Times New Roman" w:hAnsi="Times New Roman"/>
          <w:sz w:val="28"/>
          <w:szCs w:val="28"/>
          <w:lang w:val="uk-UA"/>
        </w:rPr>
        <w:t xml:space="preserve"> дію</w:t>
      </w:r>
      <w:r w:rsidRPr="00FF14AA">
        <w:rPr>
          <w:rFonts w:ascii="Times New Roman" w:hAnsi="Times New Roman"/>
          <w:sz w:val="28"/>
          <w:szCs w:val="28"/>
          <w:lang w:val="uk-UA"/>
        </w:rPr>
        <w:t xml:space="preserve"> та здатність знижувати ВЧТ, що було показано за умов </w:t>
      </w:r>
      <w:r>
        <w:rPr>
          <w:rFonts w:ascii="Times New Roman" w:hAnsi="Times New Roman"/>
          <w:sz w:val="28"/>
          <w:szCs w:val="28"/>
          <w:lang w:val="uk-UA"/>
        </w:rPr>
        <w:t>ІІ</w:t>
      </w:r>
      <w:r w:rsidRPr="00FF14AA">
        <w:rPr>
          <w:rFonts w:ascii="Times New Roman" w:hAnsi="Times New Roman"/>
          <w:sz w:val="28"/>
          <w:szCs w:val="28"/>
          <w:lang w:val="uk-UA"/>
        </w:rPr>
        <w:t xml:space="preserve"> [10]. Однак роль цього напрямку дії адемолу на моделі </w:t>
      </w:r>
      <w:r>
        <w:rPr>
          <w:rFonts w:ascii="Times New Roman" w:hAnsi="Times New Roman"/>
          <w:sz w:val="28"/>
          <w:szCs w:val="28"/>
          <w:lang w:val="uk-UA"/>
        </w:rPr>
        <w:t>ВЧК</w:t>
      </w:r>
      <w:r w:rsidRPr="00FF14AA">
        <w:rPr>
          <w:rFonts w:ascii="Times New Roman" w:hAnsi="Times New Roman"/>
          <w:sz w:val="28"/>
          <w:szCs w:val="28"/>
          <w:lang w:val="uk-UA"/>
        </w:rPr>
        <w:t xml:space="preserve"> залишається досить д</w:t>
      </w:r>
      <w:r w:rsidR="002E56E6">
        <w:rPr>
          <w:rFonts w:ascii="Times New Roman" w:hAnsi="Times New Roman"/>
          <w:sz w:val="28"/>
          <w:szCs w:val="28"/>
          <w:lang w:val="uk-UA"/>
        </w:rPr>
        <w:t>искутабельною. Так</w:t>
      </w:r>
      <w:r w:rsidRPr="00FF14AA">
        <w:rPr>
          <w:rFonts w:ascii="Times New Roman" w:hAnsi="Times New Roman"/>
          <w:sz w:val="28"/>
          <w:szCs w:val="28"/>
          <w:lang w:val="uk-UA"/>
        </w:rPr>
        <w:t xml:space="preserve"> з’явились дані щодо негативних результатів застосування бета-адреноблокаторів на виживаність хворих із мозковими інсультами на тлі </w:t>
      </w:r>
      <w:r w:rsidRPr="00FF14AA">
        <w:rPr>
          <w:rFonts w:ascii="Times New Roman" w:hAnsi="Times New Roman"/>
          <w:sz w:val="28"/>
          <w:szCs w:val="28"/>
          <w:lang w:val="uk-UA"/>
        </w:rPr>
        <w:lastRenderedPageBreak/>
        <w:t>артеріальної гіпертензії [177], однак є також літературні дані, згідно яких бета блокатори не викликають збільшення смертності у таких хворих, а їх превентив</w:t>
      </w:r>
      <w:r w:rsidR="005C3CBE">
        <w:rPr>
          <w:rFonts w:ascii="Times New Roman" w:hAnsi="Times New Roman"/>
          <w:sz w:val="28"/>
          <w:szCs w:val="28"/>
          <w:lang w:val="uk-UA"/>
        </w:rPr>
        <w:t>не застосування попереджає рефле</w:t>
      </w:r>
      <w:r w:rsidRPr="00FF14AA">
        <w:rPr>
          <w:rFonts w:ascii="Times New Roman" w:hAnsi="Times New Roman"/>
          <w:sz w:val="28"/>
          <w:szCs w:val="28"/>
          <w:lang w:val="uk-UA"/>
        </w:rPr>
        <w:t>к</w:t>
      </w:r>
      <w:r w:rsidR="005C3CBE">
        <w:rPr>
          <w:rFonts w:ascii="Times New Roman" w:hAnsi="Times New Roman"/>
          <w:sz w:val="28"/>
          <w:szCs w:val="28"/>
          <w:lang w:val="uk-UA"/>
        </w:rPr>
        <w:t>тонийвазоспазм після субарахної</w:t>
      </w:r>
      <w:r w:rsidRPr="00FF14AA">
        <w:rPr>
          <w:rFonts w:ascii="Times New Roman" w:hAnsi="Times New Roman"/>
          <w:sz w:val="28"/>
          <w:szCs w:val="28"/>
          <w:lang w:val="uk-UA"/>
        </w:rPr>
        <w:t>дального крововиливу [178-180</w:t>
      </w:r>
      <w:r w:rsidRPr="00FF14AA">
        <w:rPr>
          <w:rFonts w:ascii="Times New Roman" w:hAnsi="Times New Roman"/>
          <w:color w:val="000000"/>
          <w:sz w:val="28"/>
          <w:szCs w:val="28"/>
          <w:shd w:val="clear" w:color="auto" w:fill="FFFFFF"/>
          <w:lang w:val="uk-UA"/>
        </w:rPr>
        <w:t xml:space="preserve">]. </w:t>
      </w:r>
      <w:r w:rsidRPr="00FF14AA">
        <w:rPr>
          <w:rFonts w:ascii="Times New Roman" w:hAnsi="Times New Roman"/>
          <w:sz w:val="28"/>
          <w:szCs w:val="28"/>
          <w:lang w:val="uk-UA"/>
        </w:rPr>
        <w:t>Але в одному всі фахівці одностайні – це питання потребує додаткових досліджень.</w:t>
      </w:r>
    </w:p>
    <w:p w:rsidR="001F0A71" w:rsidRPr="00FF14AA" w:rsidRDefault="005C3CBE" w:rsidP="0069152C">
      <w:pPr>
        <w:widowControl w:val="0"/>
        <w:spacing w:after="0" w:line="360" w:lineRule="auto"/>
        <w:ind w:firstLine="284"/>
        <w:jc w:val="both"/>
        <w:rPr>
          <w:rFonts w:ascii="Times New Roman" w:hAnsi="Times New Roman"/>
          <w:sz w:val="28"/>
          <w:szCs w:val="28"/>
          <w:lang w:val="uk-UA"/>
        </w:rPr>
      </w:pPr>
      <w:r>
        <w:rPr>
          <w:rFonts w:ascii="Times New Roman" w:hAnsi="Times New Roman"/>
          <w:sz w:val="28"/>
          <w:szCs w:val="28"/>
          <w:lang w:val="uk-UA"/>
        </w:rPr>
        <w:t>Відомо</w:t>
      </w:r>
      <w:r w:rsidR="001F0A71" w:rsidRPr="00FF14AA">
        <w:rPr>
          <w:rFonts w:ascii="Times New Roman" w:hAnsi="Times New Roman"/>
          <w:sz w:val="28"/>
          <w:szCs w:val="28"/>
          <w:lang w:val="uk-UA"/>
        </w:rPr>
        <w:t>, що блокада β­адренорецепторів призводить до зниження ВЧТ за рахунок зменшення лікворопродукції. Причому ця дія реалізується не тільки за рахунок блокади β­адренорецепторів, а й внаслідок активуючого впливу β­адреноблокаторів на функціонування 5­гідрокситриптамінових рецепторів (5­ГТ) венул синусів та мальпігієвих судин [</w:t>
      </w:r>
      <w:r w:rsidR="001F0A71" w:rsidRPr="00FF14AA">
        <w:rPr>
          <w:rFonts w:ascii="Times New Roman" w:hAnsi="Times New Roman"/>
          <w:color w:val="000000"/>
          <w:sz w:val="28"/>
          <w:szCs w:val="28"/>
          <w:shd w:val="clear" w:color="auto" w:fill="FFFFFF"/>
          <w:lang w:val="uk-UA"/>
        </w:rPr>
        <w:t>182</w:t>
      </w:r>
      <w:r w:rsidR="001F0A71" w:rsidRPr="00FF14AA">
        <w:rPr>
          <w:rFonts w:ascii="Times New Roman" w:hAnsi="Times New Roman"/>
          <w:sz w:val="28"/>
          <w:szCs w:val="28"/>
          <w:lang w:val="uk-UA"/>
        </w:rPr>
        <w:t>]. Цей механізм лежить в основі покращення відтоку ліквору та венозної крові, що сприяє зниженню ВЧТ. Враховуючи вищенаведені факти, доцільно зробити припущення, що</w:t>
      </w:r>
      <w:r>
        <w:rPr>
          <w:rFonts w:ascii="Times New Roman" w:hAnsi="Times New Roman"/>
          <w:sz w:val="28"/>
          <w:szCs w:val="28"/>
          <w:lang w:val="uk-UA"/>
        </w:rPr>
        <w:t xml:space="preserve">лікворогіпотензивна дія адемолу може бути пов’язана </w:t>
      </w:r>
      <w:r w:rsidR="001F0A71" w:rsidRPr="00FF14AA">
        <w:rPr>
          <w:rFonts w:ascii="Times New Roman" w:hAnsi="Times New Roman"/>
          <w:sz w:val="28"/>
          <w:szCs w:val="28"/>
          <w:lang w:val="uk-UA"/>
        </w:rPr>
        <w:t xml:space="preserve">з його впливом на 5­ГТ рецептори венул синусів та мальпігієвих судин, однак це потребує відповідних досліджень. </w:t>
      </w:r>
    </w:p>
    <w:p w:rsidR="001F0A71" w:rsidRPr="00FF14AA" w:rsidRDefault="001F0A71" w:rsidP="0069152C">
      <w:pPr>
        <w:spacing w:after="0" w:line="360" w:lineRule="auto"/>
        <w:ind w:firstLine="284"/>
        <w:jc w:val="both"/>
        <w:rPr>
          <w:rFonts w:ascii="Times New Roman" w:hAnsi="Times New Roman"/>
          <w:color w:val="222222"/>
          <w:sz w:val="28"/>
          <w:szCs w:val="28"/>
          <w:lang w:val="uk-UA"/>
        </w:rPr>
      </w:pPr>
      <w:r w:rsidRPr="00FF14AA">
        <w:rPr>
          <w:rFonts w:ascii="Times New Roman" w:hAnsi="Times New Roman"/>
          <w:sz w:val="28"/>
          <w:szCs w:val="28"/>
          <w:lang w:val="uk-UA"/>
        </w:rPr>
        <w:t>Варто відмітити, що адемол є неселективним β-адреноблокатором без внутрішньої симпатоміметичної активності, що підтверджується відсутніми змінами на аритмограмах у вигляді брадикардії при реєстрації функціональних параметрів. Цим можна пояснити гемодинамічні особливості дії адемолу, у вигляді стабілізуючого впливу на параметри артеріального та центрального венозного тиску, а саме відсутність у нього гіпотензивного ефекту через зниження серцевого викиду, як у типових β-адреноблокаторів. В цьому контексті, дія адемолу асоційована із ефектами на молекулярними рівні, а саме наявним модулювальним впливом на систему монооксиду азоту, що і було доведено, описано та проа</w:t>
      </w:r>
      <w:r w:rsidR="00A86B00">
        <w:rPr>
          <w:rFonts w:ascii="Times New Roman" w:hAnsi="Times New Roman"/>
          <w:sz w:val="28"/>
          <w:szCs w:val="28"/>
          <w:lang w:val="uk-UA"/>
        </w:rPr>
        <w:t>налізовано нижче. С</w:t>
      </w:r>
      <w:r w:rsidRPr="00FF14AA">
        <w:rPr>
          <w:rFonts w:ascii="Times New Roman" w:hAnsi="Times New Roman"/>
          <w:sz w:val="28"/>
          <w:szCs w:val="28"/>
          <w:lang w:val="uk-UA"/>
        </w:rPr>
        <w:t>тимулююча активність адемолу на показники інтракр</w:t>
      </w:r>
      <w:r w:rsidR="00A86B00">
        <w:rPr>
          <w:rFonts w:ascii="Times New Roman" w:hAnsi="Times New Roman"/>
          <w:sz w:val="28"/>
          <w:szCs w:val="28"/>
          <w:lang w:val="uk-UA"/>
        </w:rPr>
        <w:t xml:space="preserve">аніальної перфузії </w:t>
      </w:r>
      <w:r w:rsidRPr="00FF14AA">
        <w:rPr>
          <w:rFonts w:ascii="Times New Roman" w:hAnsi="Times New Roman"/>
          <w:sz w:val="28"/>
          <w:szCs w:val="28"/>
          <w:lang w:val="uk-UA"/>
        </w:rPr>
        <w:t xml:space="preserve"> описується позитивною дією препарату на баланс в судинах NO та активність однойменної синтази. Саме такі ефекти для адемолу було встановлено та описано при доклінічній оцінці його ефективності в умовах </w:t>
      </w:r>
      <w:r>
        <w:rPr>
          <w:rFonts w:ascii="Times New Roman" w:hAnsi="Times New Roman"/>
          <w:sz w:val="28"/>
          <w:szCs w:val="28"/>
          <w:lang w:val="uk-UA"/>
        </w:rPr>
        <w:t>ІІ</w:t>
      </w:r>
      <w:r w:rsidRPr="00FF14AA">
        <w:rPr>
          <w:rFonts w:ascii="Times New Roman" w:hAnsi="Times New Roman"/>
          <w:sz w:val="28"/>
          <w:szCs w:val="28"/>
          <w:lang w:val="uk-UA"/>
        </w:rPr>
        <w:t xml:space="preserve"> [</w:t>
      </w:r>
      <w:r w:rsidRPr="00FF14AA">
        <w:rPr>
          <w:rFonts w:ascii="Times New Roman" w:hAnsi="Times New Roman"/>
          <w:sz w:val="28"/>
          <w:szCs w:val="28"/>
        </w:rPr>
        <w:t>10</w:t>
      </w:r>
      <w:r w:rsidRPr="00FF14AA">
        <w:rPr>
          <w:rFonts w:ascii="Times New Roman" w:hAnsi="Times New Roman"/>
          <w:sz w:val="28"/>
          <w:szCs w:val="28"/>
          <w:lang w:val="uk-UA"/>
        </w:rPr>
        <w:t xml:space="preserve">]. Контроль гемодинамічних параметрів передбачав реєстрацію показника, зміни якого напряму пов’язано із розвитком гіпоксії внаслідок порушення доставки кисню через артеріолоспазм. Мова йде про ступінь насичення крові киснем, який верифікує </w:t>
      </w:r>
      <w:r w:rsidRPr="00FF14AA">
        <w:rPr>
          <w:rFonts w:ascii="Times New Roman" w:hAnsi="Times New Roman"/>
          <w:sz w:val="28"/>
          <w:szCs w:val="28"/>
          <w:lang w:val="uk-UA"/>
        </w:rPr>
        <w:lastRenderedPageBreak/>
        <w:t xml:space="preserve">наявну тканинну гіпоксію. Для адемолу раніше вже було встановлено та деталізовано антигіпоксичну дію, проте не в умовах </w:t>
      </w:r>
      <w:r>
        <w:rPr>
          <w:rFonts w:ascii="Times New Roman" w:hAnsi="Times New Roman"/>
          <w:sz w:val="28"/>
          <w:szCs w:val="28"/>
          <w:lang w:val="uk-UA"/>
        </w:rPr>
        <w:t>ВЧК</w:t>
      </w:r>
      <w:r w:rsidRPr="00FF14AA">
        <w:rPr>
          <w:rFonts w:ascii="Times New Roman" w:hAnsi="Times New Roman"/>
          <w:sz w:val="28"/>
          <w:szCs w:val="28"/>
          <w:lang w:val="uk-UA"/>
        </w:rPr>
        <w:t>. Крім того, механізм такого фармакодинамічного ефекту проілюстровано не було. Ми дослідили зміни сатурації при інтракраніальному крововиливі, знайшли підтвердження протигіпоксичного церебрального ефекту у адемолу та дійшли висновку, що це пов’язано із притаманним для похідного адамантану впливом на кровотік.</w:t>
      </w: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Зважаючи на важливість моніторингу неймаркекрів у різні періоди ГПМК та притаманну для адемолуцеребропротекторну активність на різних моделях </w:t>
      </w:r>
      <w:r>
        <w:rPr>
          <w:rFonts w:ascii="Times New Roman" w:hAnsi="Times New Roman"/>
          <w:sz w:val="28"/>
          <w:szCs w:val="28"/>
          <w:lang w:val="uk-UA"/>
        </w:rPr>
        <w:t>ВЧК</w:t>
      </w:r>
      <w:r w:rsidRPr="00FF14AA">
        <w:rPr>
          <w:rFonts w:ascii="Times New Roman" w:hAnsi="Times New Roman"/>
          <w:sz w:val="28"/>
          <w:szCs w:val="28"/>
          <w:lang w:val="uk-UA"/>
        </w:rPr>
        <w:t>, є всі підстави сподіватись на наявність у його мембрано-(цито)протекторних властивостей, як важливої складової його захисної дії на ішемізований головний мозок за цих умов. Відомо, що інтрацеребральнагеморагія супроводжується значними деструктивними змінами в цитоархітектонічній організації нервової тканини головного мозку [</w:t>
      </w:r>
      <w:r w:rsidRPr="00FF14AA">
        <w:rPr>
          <w:rFonts w:ascii="Times New Roman" w:hAnsi="Times New Roman"/>
          <w:sz w:val="28"/>
          <w:szCs w:val="28"/>
        </w:rPr>
        <w:t>15</w:t>
      </w:r>
      <w:r w:rsidRPr="00913AE2">
        <w:rPr>
          <w:rFonts w:ascii="Times New Roman" w:hAnsi="Times New Roman"/>
          <w:sz w:val="28"/>
          <w:szCs w:val="28"/>
        </w:rPr>
        <w:t>1</w:t>
      </w:r>
      <w:r w:rsidRPr="00FF14AA">
        <w:rPr>
          <w:rFonts w:ascii="Times New Roman" w:hAnsi="Times New Roman"/>
          <w:sz w:val="28"/>
          <w:szCs w:val="28"/>
        </w:rPr>
        <w:t>,183,184</w:t>
      </w:r>
      <w:r w:rsidRPr="00FF14AA">
        <w:rPr>
          <w:rFonts w:ascii="Times New Roman" w:hAnsi="Times New Roman"/>
          <w:sz w:val="28"/>
          <w:szCs w:val="28"/>
          <w:lang w:val="uk-UA"/>
        </w:rPr>
        <w:t xml:space="preserve">]. Це закономірно знаходить своє віддзеркалення у стрімкому зростанні одного із маркерів порушення мембранної цілісності нейронів – NSE. При доклінічній оцінці адемолу та, в подальшому при його клінічних випробовуваннях як нейропротекторного засобу в умовах </w:t>
      </w:r>
      <w:r>
        <w:rPr>
          <w:rFonts w:ascii="Times New Roman" w:hAnsi="Times New Roman"/>
          <w:sz w:val="28"/>
          <w:szCs w:val="28"/>
          <w:lang w:val="uk-UA"/>
        </w:rPr>
        <w:t>ІІ</w:t>
      </w:r>
      <w:r w:rsidRPr="00FF14AA">
        <w:rPr>
          <w:rFonts w:ascii="Times New Roman" w:hAnsi="Times New Roman"/>
          <w:sz w:val="28"/>
          <w:szCs w:val="28"/>
          <w:lang w:val="uk-UA"/>
        </w:rPr>
        <w:t xml:space="preserve">, наведено детальну характеристику цього нейромаркера у різні періоди ГПМК та проаналізовано взаємозв’язок енолазної активності з летальністю та неврологічним статусом. Тому, доцільно було дослідити вплив адемолу на особливості коливання титрів NSE у щурів на тлі різних за важкістю моделях </w:t>
      </w:r>
      <w:r>
        <w:rPr>
          <w:rFonts w:ascii="Times New Roman" w:hAnsi="Times New Roman"/>
          <w:sz w:val="28"/>
          <w:szCs w:val="28"/>
          <w:lang w:val="uk-UA"/>
        </w:rPr>
        <w:t>ВЧК</w:t>
      </w:r>
      <w:r w:rsidRPr="00FF14AA">
        <w:rPr>
          <w:rFonts w:ascii="Times New Roman" w:hAnsi="Times New Roman"/>
          <w:sz w:val="28"/>
          <w:szCs w:val="28"/>
          <w:lang w:val="uk-UA"/>
        </w:rPr>
        <w:t xml:space="preserve"> та охарактеризувати ці зміни відповідно до динаміки виживаності тварин, регресу наявного невролічного дефіциту та ноотропної дії [185</w:t>
      </w:r>
      <w:r w:rsidRPr="00DC3EE7">
        <w:rPr>
          <w:rFonts w:ascii="Times New Roman" w:hAnsi="Times New Roman"/>
          <w:sz w:val="28"/>
          <w:szCs w:val="28"/>
          <w:lang w:val="uk-UA"/>
        </w:rPr>
        <w:t>–</w:t>
      </w:r>
      <w:r w:rsidRPr="00FF14AA">
        <w:rPr>
          <w:rFonts w:ascii="Times New Roman" w:hAnsi="Times New Roman"/>
          <w:sz w:val="28"/>
          <w:szCs w:val="28"/>
          <w:lang w:val="uk-UA"/>
        </w:rPr>
        <w:t xml:space="preserve">187]. </w:t>
      </w:r>
    </w:p>
    <w:p w:rsidR="001F0A71" w:rsidRPr="00FF14AA" w:rsidRDefault="001F0A71" w:rsidP="0069152C">
      <w:pPr>
        <w:widowControl w:val="0"/>
        <w:shd w:val="clear" w:color="auto" w:fill="FFFFFF"/>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На нашу думку, позитивна динаміка активності NSE на тлі курсового введення адемолу вказує на його здатність перешкоджати розвиток деструктивних змін в ішемізованому мозку, сприяти збереженню структурної цілісності нейронів, і як наслідок, зменшувати вогнище ішемії та зону пенумбри. Це, у свою чергу, супроводжується зниженням летальності тварин та більш швидшим регресом негативної неврологічної симптоматики (див. розділ 3). Важливим є те, що цитопротекторні ефекти адемолу однаково проявились, як у гострому, так і у відновлювальному періоді інсульту. Отже, для панорамної картини динаміки </w:t>
      </w:r>
      <w:r w:rsidRPr="00FF14AA">
        <w:rPr>
          <w:rFonts w:ascii="Times New Roman" w:hAnsi="Times New Roman"/>
          <w:sz w:val="28"/>
          <w:szCs w:val="28"/>
          <w:lang w:val="uk-UA"/>
        </w:rPr>
        <w:lastRenderedPageBreak/>
        <w:t>перебігу інсульту, доречною є не тільки порівняльна міжгрупова оцінка стосовно енолазноїативності, а й співставлення її абсолютних значень на 4-ту та 21-шу добу у кожній групі. Закономірно, паралельно до формування адаптаційних реакцій в ішемізованому головному мозку (розкриття колатералей, тощо) відбувається послаблення активності NSE у відновному періоді проти гострого. Цей феномен має місце навіть у групі контрольної патології і носить вірогідний характер: активність енолази проти 4-ої доби в кінці досліду виявилась втричі меншою. Проте, на тлі терапії досліджуваними цитопротекторами такий регрес був більш масштабним. Так, станом на 21-шу добу ВМК на тлі німодипіну та амантадину сульфату зафіксовано зменшення активності енолази проти гострого періоду відповідно у 3,89 та 4,0 рази, р&lt;0,05. Потужна динаміка деескалації активності досліджуваного нейромаркера мала місце на тлі курсового застосування адемолу, коли її титри наприкінці терапії виявились нижчими за дані станом на 4-ту добу в середньому у 4,01 рази, що є співвідносним із ефективністю розчину амантадину сульфату. Найгірша динаміка регресу у відновний період ВМК відмічена при застосуванні розчину магнію сульфату – в середньому у 3,27 рази (р&lt;0,05), що наближалось до картини, яка характерна для групи контрольної патології.</w:t>
      </w:r>
    </w:p>
    <w:p w:rsidR="001F0A71" w:rsidRPr="00FF14AA" w:rsidRDefault="001F0A71" w:rsidP="0069152C">
      <w:pPr>
        <w:widowControl w:val="0"/>
        <w:shd w:val="clear" w:color="auto" w:fill="FFFFFF"/>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Таким чином, наведені факти свідчать про спроможність адемолу сприяти збереженню нейроцитоархітектоніки при модельній інтрацеребральнійгеморагії, що знайшло відповідне цитометричне підтвердження [188]. </w:t>
      </w:r>
    </w:p>
    <w:p w:rsidR="001F0A71" w:rsidRPr="00FF14AA" w:rsidRDefault="001F0A71" w:rsidP="0069152C">
      <w:pPr>
        <w:widowControl w:val="0"/>
        <w:shd w:val="clear" w:color="auto" w:fill="FFFFFF"/>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Дослідження превалювання одних процесів клітинної смерті над іншими (некробіоз, апоптоз) та оцінка внеску кожного окремого у формування ішемічного вогнища при </w:t>
      </w:r>
      <w:r>
        <w:rPr>
          <w:rFonts w:ascii="Times New Roman" w:hAnsi="Times New Roman"/>
          <w:sz w:val="28"/>
          <w:szCs w:val="28"/>
          <w:lang w:val="uk-UA"/>
        </w:rPr>
        <w:t>ГПМК</w:t>
      </w:r>
      <w:r w:rsidRPr="00FF14AA">
        <w:rPr>
          <w:rFonts w:ascii="Times New Roman" w:hAnsi="Times New Roman"/>
          <w:sz w:val="28"/>
          <w:szCs w:val="28"/>
          <w:lang w:val="uk-UA"/>
        </w:rPr>
        <w:t xml:space="preserve"> – питання, вирішення якого має важливу практичну цінність для розробки нових методів патогенетичної терапії інсульту. Не менше значення має оцінка церебропротекторного впливу препаратів на модуляцію типів елімінації клітинних елементів ЦНС (нейронів) та можливість трансформації запрограмованих (апоптоз) і спонтанних (некроз) видів нейродеструкції. Відомо, що нейронекроз (нейроцитоліз) являє собою лавиноподібний, хаотичний процес деструкції клітин, який супроводжується запальною відповіддю у відновний період. Принциповою відмінністю нейроапоптозу від некробіозу, є обмеженість цього явища кожною </w:t>
      </w:r>
      <w:r w:rsidRPr="00FF14AA">
        <w:rPr>
          <w:rFonts w:ascii="Times New Roman" w:hAnsi="Times New Roman"/>
          <w:sz w:val="28"/>
          <w:szCs w:val="28"/>
          <w:lang w:val="uk-UA"/>
        </w:rPr>
        <w:lastRenderedPageBreak/>
        <w:t xml:space="preserve">окремо взятою клітиною, збереженням мембранної (цитоархітектонічної) цілісності, за рахунок чого відсутнє запалення. Отже, загибель клітини шляхом апоптозу не супроводжується порушенням мембранної єдності нейронів, які поступово втрачають більшу частину цитоплазми з подальшим утворенням апоптотичних тілець, котрі фагоцитуються. Саме тому, апоптотична загибель нейронів має </w:t>
      </w:r>
      <w:r w:rsidR="00BD3CF9">
        <w:rPr>
          <w:rFonts w:ascii="Times New Roman" w:hAnsi="Times New Roman"/>
          <w:sz w:val="28"/>
          <w:szCs w:val="28"/>
          <w:lang w:val="uk-UA"/>
        </w:rPr>
        <w:t xml:space="preserve"> не тільки кількісні, а й  </w:t>
      </w:r>
      <w:r w:rsidRPr="00FF14AA">
        <w:rPr>
          <w:rFonts w:ascii="Times New Roman" w:hAnsi="Times New Roman"/>
          <w:sz w:val="28"/>
          <w:szCs w:val="28"/>
          <w:lang w:val="uk-UA"/>
        </w:rPr>
        <w:t>якісні переваги перед онкозом, і є «меншим злом» для високоспеціалізованого органу або системи із диференц</w:t>
      </w:r>
      <w:r w:rsidR="00BD3CF9">
        <w:rPr>
          <w:rFonts w:ascii="Times New Roman" w:hAnsi="Times New Roman"/>
          <w:sz w:val="28"/>
          <w:szCs w:val="28"/>
          <w:lang w:val="uk-UA"/>
        </w:rPr>
        <w:t xml:space="preserve">ійованими клітинними елементами,  </w:t>
      </w:r>
      <w:r w:rsidRPr="00FF14AA">
        <w:rPr>
          <w:rFonts w:ascii="Times New Roman" w:hAnsi="Times New Roman"/>
          <w:sz w:val="28"/>
          <w:szCs w:val="28"/>
          <w:lang w:val="uk-UA"/>
        </w:rPr>
        <w:t xml:space="preserve"> загалом, не зважаючи на підсумкове зменшення нейронального пулу. Поряд із цим, згідно думки певної когорти науковців [189</w:t>
      </w:r>
      <w:r w:rsidRPr="00DC3EE7">
        <w:rPr>
          <w:rFonts w:ascii="Times New Roman" w:hAnsi="Times New Roman"/>
          <w:sz w:val="28"/>
          <w:szCs w:val="28"/>
          <w:lang w:val="uk-UA"/>
        </w:rPr>
        <w:t>–</w:t>
      </w:r>
      <w:r w:rsidRPr="00FF14AA">
        <w:rPr>
          <w:rFonts w:ascii="Times New Roman" w:hAnsi="Times New Roman"/>
          <w:sz w:val="28"/>
          <w:szCs w:val="28"/>
          <w:lang w:val="uk-UA"/>
        </w:rPr>
        <w:t>191], при інсульті процеси апоптотичної загибелі клітин переважають над некротичними, і апоптотичні тенденції мають негативний відтінок через те, що останній може індукувати фактори відстроченого екстра ексайтотоксичного враження нейронів. Згідно такого тлумачення, провідним напрямком нейропротекції можна вважати розробку та клінічне застосування лікарських засобів антиапоптотичної дії. В такому разі, попередження апоптозу, у своїй більшості, логічно вважається доцільним, що на думку вчених, може мати ґрунтовний зміст для реалізації церебропротекції [59,189,192]. Проте відомо, якщо необоротно уражені нейрони втрачають змогу бути елімінованими шляхом апоптозу, це слугує стартом для запуску механізмів некрозу і є небажаним, оскільки при останньому відбувається експансія зони ішемії за рахунок приєднання до вогнища пенумбри додаткових клітин [189</w:t>
      </w:r>
      <w:r>
        <w:rPr>
          <w:rFonts w:ascii="Times New Roman" w:hAnsi="Times New Roman"/>
          <w:sz w:val="28"/>
          <w:szCs w:val="28"/>
          <w:lang w:val="uk-UA"/>
        </w:rPr>
        <w:t xml:space="preserve">, </w:t>
      </w:r>
      <w:r w:rsidRPr="00FF14AA">
        <w:rPr>
          <w:rFonts w:ascii="Times New Roman" w:hAnsi="Times New Roman"/>
          <w:sz w:val="28"/>
          <w:szCs w:val="28"/>
          <w:lang w:val="uk-UA"/>
        </w:rPr>
        <w:t>193</w:t>
      </w:r>
      <w:r w:rsidRPr="00DC3EE7">
        <w:rPr>
          <w:rFonts w:ascii="Times New Roman" w:hAnsi="Times New Roman"/>
          <w:sz w:val="28"/>
          <w:szCs w:val="28"/>
          <w:lang w:val="uk-UA"/>
        </w:rPr>
        <w:t>–</w:t>
      </w:r>
      <w:r w:rsidRPr="00FF14AA">
        <w:rPr>
          <w:rFonts w:ascii="Times New Roman" w:hAnsi="Times New Roman"/>
          <w:sz w:val="28"/>
          <w:szCs w:val="28"/>
          <w:lang w:val="uk-UA"/>
        </w:rPr>
        <w:t>195]. Таким чином, на нашу думку, можна зробити за</w:t>
      </w:r>
      <w:r w:rsidR="00D67811">
        <w:rPr>
          <w:rFonts w:ascii="Times New Roman" w:hAnsi="Times New Roman"/>
          <w:sz w:val="28"/>
          <w:szCs w:val="28"/>
          <w:lang w:val="uk-UA"/>
        </w:rPr>
        <w:t xml:space="preserve">ключення, що виключна превенція </w:t>
      </w:r>
      <w:r w:rsidRPr="00FF14AA">
        <w:rPr>
          <w:rFonts w:ascii="Times New Roman" w:hAnsi="Times New Roman"/>
          <w:sz w:val="28"/>
          <w:szCs w:val="28"/>
          <w:lang w:val="uk-UA"/>
        </w:rPr>
        <w:t xml:space="preserve"> запрограмованих шляхів клітинної смерті в умовах ВМК по апоптотичному типу – еволюційно застарілий напрямок церебропротекції, а перспективним є впровадження препаратів, які дозволяють одночасно гальмувати усі можливі</w:t>
      </w:r>
      <w:r w:rsidR="00D67811">
        <w:rPr>
          <w:rFonts w:ascii="Times New Roman" w:hAnsi="Times New Roman"/>
          <w:sz w:val="28"/>
          <w:szCs w:val="28"/>
          <w:lang w:val="uk-UA"/>
        </w:rPr>
        <w:t xml:space="preserve"> шляхи клітинної смерті ( апоптоз, </w:t>
      </w:r>
      <w:r w:rsidRPr="00FF14AA">
        <w:rPr>
          <w:rFonts w:ascii="Times New Roman" w:hAnsi="Times New Roman"/>
          <w:sz w:val="28"/>
          <w:szCs w:val="28"/>
          <w:lang w:val="uk-UA"/>
        </w:rPr>
        <w:t xml:space="preserve"> некробіоз) [59]. </w:t>
      </w:r>
    </w:p>
    <w:p w:rsidR="001F0A71" w:rsidRPr="00FF14AA" w:rsidRDefault="001F0A71" w:rsidP="0069152C">
      <w:pPr>
        <w:widowControl w:val="0"/>
        <w:shd w:val="clear" w:color="auto" w:fill="FFFFFF"/>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На основі отриманих даних можна зробити наступні висновки. По-перше, лікувальне введення адемолу дозою 2 мг/кг в/в, так само, як і німодипіну (30 мкг/кг в/в), чинить позитивну модулюючую дію на процеси нейроапоптозу в корі головного мозку щурів з ВМК. По-друге, спроможність адемолу, подібно до референсу зменшувати % апоптотичних нейронів в корі головного мозку щурів із </w:t>
      </w:r>
      <w:r w:rsidRPr="00FF14AA">
        <w:rPr>
          <w:rFonts w:ascii="Times New Roman" w:hAnsi="Times New Roman"/>
          <w:sz w:val="28"/>
          <w:szCs w:val="28"/>
          <w:lang w:val="uk-UA"/>
        </w:rPr>
        <w:lastRenderedPageBreak/>
        <w:t>ВМК може бути одним із механізмів їх церебропротекторної дії. Зважаючи на виражені антицитолітичні та антиапоптотичні властивості адемолу в умовах ВМК, його можна віднести до первинних нейропротекторів, що робить препарат перспективним для патогенетично спрямованого переривання ранніх механізмів клітинної смерті, і дає обґрунтовану можливість в майбутньому застосування на перших етапах судиномозкової катастрофи.</w:t>
      </w: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Формування нейродеструктивного вогнища в мозку при </w:t>
      </w:r>
      <w:r>
        <w:rPr>
          <w:rFonts w:ascii="Times New Roman" w:hAnsi="Times New Roman"/>
          <w:sz w:val="28"/>
          <w:szCs w:val="28"/>
          <w:lang w:val="uk-UA"/>
        </w:rPr>
        <w:t xml:space="preserve"> ВЧК</w:t>
      </w:r>
      <w:r w:rsidRPr="00FF14AA">
        <w:rPr>
          <w:rFonts w:ascii="Times New Roman" w:hAnsi="Times New Roman"/>
          <w:sz w:val="28"/>
          <w:szCs w:val="28"/>
          <w:lang w:val="uk-UA"/>
        </w:rPr>
        <w:t xml:space="preserve"> – це динамічний процес, який в сукупності формується із явищ, котрі, на перший погляд, за своєю сутністю діаметрально протилежні. Наприклад так, одночасно відбувається руйнування мембран нейронів (нейроцитоліз), а паралельно, у відповідь ініціюютьсянейропроліферативні зміни, за рахунок поділу гліальних елементів, на кшталт репаративної відповіді нервової тканини, котра, як високо спеціалізована та високо диференційована не спроможна до повноцінного відновлення. Інтенсивність руйнування нейрональних мембран, конкордатне масиву нейрогліоцитів спроможних та готових до поділу. Якщо, енолаза віддзеркалює нейроцитоліз, і це можна кількісно оцінити, виявляючи зміни її активності, то нейропроліферацію, аналогічним чином, є змога виявити за допомого іншого нейромаркера –S100, який експерсуєтьсянейрогліальними елементами. Закономірно, чим більша кількість  нейронів було зруйновано, тим інтенсивніше відбуваються процеси їх заміщення нейроглією, і тим вищі титри S100 ідентифікуються. S100, подібно до енолази – це нейромаркери, котрі використовуються в клінічних умовах для експрес оцінки важкості перебігу церебральної ішемії та корелюють із прогнозом для таких хворих крізь призму летальності та неврологічного статусу.</w:t>
      </w:r>
    </w:p>
    <w:p w:rsidR="001F0A71" w:rsidRPr="00FF14AA" w:rsidRDefault="001F0A71" w:rsidP="0069152C">
      <w:pPr>
        <w:widowControl w:val="0"/>
        <w:shd w:val="clear" w:color="auto" w:fill="FFFFFF"/>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Нервова тканина є високоспеціалізованою системою, котру формують клітини з максимальним рівнем морфологічної диференціації – нейрони. Останні, як відомо не здатні до поділу і володіють низьким репаративним потенціалом. Єдиний клітинний елемент, який періодично відновлюється відносять до пулу нейрогліїї. Нейрогліоцити в ЦНС, як аналог сполучно-тканинних елементів в соматичній тканині, здатні до поділу, котрий у разі виходу поза межі фізіологічного профілю, ідентифікує попередню елімінацію нейронів. Тобто, нейрогліоцити заміщують </w:t>
      </w:r>
      <w:r w:rsidRPr="00FF14AA">
        <w:rPr>
          <w:rFonts w:ascii="Times New Roman" w:hAnsi="Times New Roman"/>
          <w:sz w:val="28"/>
          <w:szCs w:val="28"/>
          <w:lang w:val="uk-UA"/>
        </w:rPr>
        <w:lastRenderedPageBreak/>
        <w:t>нейрони, котрі загинули внаслідок некрозу. Відтак, активність нейроглії опосередковано свідчить про величину та масштаби нейродеструкції. Цей процес можна відслідкувати за допомогою імуноферментного аналізу за рівнем S100, котрий експресуєтьсянейроглією, що і було зроблено імуноферментним шляхом</w:t>
      </w:r>
      <w:r>
        <w:rPr>
          <w:rFonts w:ascii="Times New Roman" w:hAnsi="Times New Roman"/>
          <w:sz w:val="28"/>
          <w:szCs w:val="28"/>
          <w:lang w:val="uk-UA"/>
        </w:rPr>
        <w:t>.</w:t>
      </w:r>
    </w:p>
    <w:p w:rsidR="001F0A71" w:rsidRDefault="001F0A71" w:rsidP="0069152C">
      <w:pPr>
        <w:widowControl w:val="0"/>
        <w:tabs>
          <w:tab w:val="left" w:pos="1276"/>
          <w:tab w:val="left" w:pos="1701"/>
        </w:tabs>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Максимальне використання всіх можливостей протоково-цитометричного аналізу при оцінці апоптотичної активності в ядерній суспензії, отриманої з клітин кори лобних долей головного мозку, повною мірою дає змогу верифікувати питому кількість ядерної ДНК у стані реплікаційної здатності, тобто такої, що готова до поділу. Встановлено, що в критичний період субарахноїдального крововиливу адемол за антинейрогліопроліферативним ефектом переважав референтсийнімодипін, що додатково засвідчує його спроможність зберігати морфологічну цілісність нейронів</w:t>
      </w:r>
      <w:r>
        <w:rPr>
          <w:rFonts w:ascii="Times New Roman" w:hAnsi="Times New Roman"/>
          <w:sz w:val="28"/>
          <w:szCs w:val="28"/>
          <w:lang w:val="uk-UA"/>
        </w:rPr>
        <w:t>.</w:t>
      </w:r>
    </w:p>
    <w:p w:rsidR="001F0A71" w:rsidRPr="006B57C3" w:rsidRDefault="001F0A71" w:rsidP="0069152C">
      <w:pPr>
        <w:widowControl w:val="0"/>
        <w:tabs>
          <w:tab w:val="left" w:pos="1276"/>
          <w:tab w:val="left" w:pos="1701"/>
        </w:tabs>
        <w:spacing w:after="0" w:line="360" w:lineRule="auto"/>
        <w:ind w:firstLine="284"/>
        <w:jc w:val="both"/>
        <w:rPr>
          <w:rFonts w:ascii="Times New Roman" w:hAnsi="Times New Roman"/>
          <w:sz w:val="28"/>
          <w:szCs w:val="28"/>
          <w:lang w:val="uk-UA"/>
        </w:rPr>
      </w:pPr>
      <w:r>
        <w:rPr>
          <w:rFonts w:ascii="Times New Roman" w:hAnsi="Times New Roman"/>
          <w:sz w:val="28"/>
          <w:szCs w:val="28"/>
          <w:lang w:val="uk-UA"/>
        </w:rPr>
        <w:t xml:space="preserve">Отримані результати щодо нейропротекторної дії адемолу за маркерами нейроапоптозу, нейроцитолізу та нейродегенерації опубліковані в нашій роботі </w:t>
      </w:r>
      <w:r w:rsidRPr="006B57C3">
        <w:rPr>
          <w:rFonts w:ascii="Times New Roman" w:hAnsi="Times New Roman"/>
          <w:sz w:val="28"/>
          <w:szCs w:val="28"/>
          <w:lang w:val="uk-UA"/>
        </w:rPr>
        <w:t>[196].</w:t>
      </w: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Для візуалізації масштабу морфо-дегенеративних явищ, котрі відбуваються в мозку за </w:t>
      </w:r>
      <w:r>
        <w:rPr>
          <w:rFonts w:ascii="Times New Roman" w:hAnsi="Times New Roman"/>
          <w:sz w:val="28"/>
          <w:szCs w:val="28"/>
          <w:lang w:val="uk-UA"/>
        </w:rPr>
        <w:t>ВЧК</w:t>
      </w:r>
      <w:r w:rsidRPr="00FF14AA">
        <w:rPr>
          <w:rFonts w:ascii="Times New Roman" w:hAnsi="Times New Roman"/>
          <w:sz w:val="28"/>
          <w:szCs w:val="28"/>
          <w:lang w:val="uk-UA"/>
        </w:rPr>
        <w:t xml:space="preserve"> на тлі церебропротекторної терапії, слід виконати оцінку гістопрепаратів, використавши можливості світлової мікроскопії. </w:t>
      </w:r>
    </w:p>
    <w:p w:rsidR="001F0A71" w:rsidRPr="00FF14AA" w:rsidRDefault="001F0A71" w:rsidP="0069152C">
      <w:pPr>
        <w:widowControl w:val="0"/>
        <w:tabs>
          <w:tab w:val="left" w:pos="1276"/>
          <w:tab w:val="left" w:pos="1701"/>
        </w:tabs>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Загалом, гістопатологічні зміни при лікуванні церебральної ішемії геморагічного ґенезу були помірними із збереженням структурної організації нервової тканини, кори мозку, гіпокампу та елементів мікроциркуляторного русла, а панорамний вигляд досліджуваного об’єкту мав вигляд, котрий за основними описовими оціночними критеріями (наявність/відсутність: ядра, ядерця, відростків нейронів та інших структурних клітинних об’єктів, перивазального та навколо клітинного набряку, діапедезу формених елементів крові, цитолізу, ознак нейродеструкції стінки) наближався до такого у псевдооперованих щурів, що відповідало фактам, які було отримано при імуноферментному досліджені нейроспецифічних ферментів.</w:t>
      </w:r>
    </w:p>
    <w:p w:rsidR="001F0A71" w:rsidRPr="00FF14AA" w:rsidRDefault="001F0A71" w:rsidP="0069152C">
      <w:pPr>
        <w:spacing w:after="0" w:line="360" w:lineRule="auto"/>
        <w:ind w:firstLine="284"/>
        <w:jc w:val="both"/>
        <w:rPr>
          <w:rFonts w:ascii="Times New Roman" w:hAnsi="Times New Roman"/>
          <w:spacing w:val="-6"/>
          <w:sz w:val="28"/>
          <w:szCs w:val="28"/>
          <w:lang w:val="uk-UA"/>
        </w:rPr>
      </w:pPr>
      <w:r w:rsidRPr="00FF14AA">
        <w:rPr>
          <w:rFonts w:ascii="Times New Roman" w:hAnsi="Times New Roman"/>
          <w:sz w:val="28"/>
          <w:szCs w:val="28"/>
          <w:lang w:val="uk-UA"/>
        </w:rPr>
        <w:t xml:space="preserve">При доклінічній оцінці протективних властивостей адемолу (промисловий зразок) з’ясовано, що біохімічні складові механізму його захисної дії на нейрони при </w:t>
      </w:r>
      <w:r>
        <w:rPr>
          <w:rFonts w:ascii="Times New Roman" w:hAnsi="Times New Roman"/>
          <w:sz w:val="28"/>
          <w:szCs w:val="28"/>
          <w:lang w:val="uk-UA"/>
        </w:rPr>
        <w:t>ІІ</w:t>
      </w:r>
      <w:r w:rsidRPr="00FF14AA">
        <w:rPr>
          <w:rFonts w:ascii="Times New Roman" w:hAnsi="Times New Roman"/>
          <w:sz w:val="28"/>
          <w:szCs w:val="28"/>
          <w:lang w:val="uk-UA"/>
        </w:rPr>
        <w:t xml:space="preserve">, гіпоксичних станах різного ґенезу, черепно-мозковій травмі та перехідній ішемії </w:t>
      </w:r>
      <w:r w:rsidRPr="00FF14AA">
        <w:rPr>
          <w:rFonts w:ascii="Times New Roman" w:hAnsi="Times New Roman"/>
          <w:sz w:val="28"/>
          <w:szCs w:val="28"/>
          <w:lang w:val="uk-UA"/>
        </w:rPr>
        <w:lastRenderedPageBreak/>
        <w:t>зорового аналізатора, пов’язані із притаманним для похідного адамантанумодульовальним впливом на порушений внутрішньоклітинний гомеостаз метаболічного характеру (енергетичний, вуглеводний, оксидантно-антиоксидантний баланс, обмін монооксиду азоту, нітрозативний стрес, ацидотичний стан) та деструктивні процеси, такі як нейроапоптоз, некробіоз, нейропроліферація. Так, введення дослідним тваринам (щурі, кролі) із моделями перерахованих патологічних станів 1,0 % розчину адемолу дозою 2 мг/кг, достовірно краще відносно тварин контрольної патології сприяло відновленню енергетичного метаболізму і стабілізувало порушені показники обміну NO, надійніше профілактувало розвиток оксидативного стресу та перешкоджало морфо-дегенаративні явища в нейроцитах, одночасно забезпечуючи формування феномену нейрореставрації. За цими властивостями адемол перевершував такі референсні препарати, як цитиколін, мексидол, пірацетам, актовегін, нейропептиди (церебролізин, кортексин) та структурно подібні адамантани (р&lt;0,05) [</w:t>
      </w:r>
      <w:r w:rsidRPr="00FF14AA">
        <w:rPr>
          <w:rFonts w:ascii="Times New Roman" w:hAnsi="Times New Roman"/>
          <w:sz w:val="28"/>
          <w:szCs w:val="28"/>
        </w:rPr>
        <w:t>107</w:t>
      </w:r>
      <w:r w:rsidRPr="00FF14AA">
        <w:rPr>
          <w:rFonts w:ascii="Times New Roman" w:hAnsi="Times New Roman"/>
          <w:sz w:val="28"/>
          <w:szCs w:val="28"/>
          <w:lang w:val="uk-UA"/>
        </w:rPr>
        <w:t>]. Наведені аналітичні дані щодо притаманної адемолуметаболототропної активності в умовах ішемічно-гіпоксичного ураження нервової тканини, дають підґрунтя та роблять доцільним вивчення аналогічних ефектів у цього препарату і при САК, що і було показано в наших дослідженнях [152,19</w:t>
      </w:r>
      <w:r>
        <w:rPr>
          <w:rFonts w:ascii="Times New Roman" w:hAnsi="Times New Roman"/>
          <w:sz w:val="28"/>
          <w:szCs w:val="28"/>
          <w:lang w:val="uk-UA"/>
        </w:rPr>
        <w:t>7</w:t>
      </w:r>
      <w:r w:rsidRPr="00FF14AA">
        <w:rPr>
          <w:rFonts w:ascii="Times New Roman" w:hAnsi="Times New Roman"/>
          <w:sz w:val="28"/>
          <w:szCs w:val="28"/>
          <w:lang w:val="uk-UA"/>
        </w:rPr>
        <w:t>].</w:t>
      </w: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У ході проведеного динамічного дослідження впливу адемолу на енергетичний метаболізм у мозку щурів в гострий та відновний періоди ВМК встановлено, що біохімічні складові механізму його церебропротекторної дії в цих умовах асоційовано із відновленням енергопостачання останнього (збільшення вмісту АТФ, малату та пірувату) на тлі паралельного зменшення вмісту лактату. Ця ланка у фармакодинамічному аспекті захисної дії адемолу на ішемізований мозок є вкрай важливою, оскільки в аноксичних або ж гіпоксичних умовах, енергетичний потенціал нейронів швидко виснажується, а єдиним енергетичним субстратом при цьому виступає лише глюкоза. За спроможністю адамантану відновлювати енергетичний обмін у гострий та відновний періоди САК доцільно побудувати наступний варіаційним ряд в порядку наростання енергодефіциту за рівнем субстратів, які афілійовано з цим явищем, що віддзеркалює величину </w:t>
      </w:r>
      <w:r w:rsidRPr="00FF14AA">
        <w:rPr>
          <w:rFonts w:ascii="Times New Roman" w:hAnsi="Times New Roman"/>
          <w:sz w:val="28"/>
          <w:szCs w:val="28"/>
          <w:lang w:val="uk-UA"/>
        </w:rPr>
        <w:lastRenderedPageBreak/>
        <w:t>нейропротекторної активності. Чим лівіше (ближче до групи псевдооперованих щурів) розташовується препарат, тим вищий у нього енергетичний потенціал: псевдооперовані щури &gt;адемол ≥ німодипін&gt;амантадину сульфат &gt; магнію сульфат &gt; контрольна патологія.</w:t>
      </w:r>
    </w:p>
    <w:p w:rsidR="001F0A71" w:rsidRPr="00FF14AA" w:rsidRDefault="001F0A71" w:rsidP="0069152C">
      <w:pPr>
        <w:widowControl w:val="0"/>
        <w:spacing w:after="0" w:line="360" w:lineRule="auto"/>
        <w:ind w:firstLine="284"/>
        <w:jc w:val="both"/>
        <w:rPr>
          <w:rFonts w:ascii="Times New Roman" w:hAnsi="Times New Roman"/>
          <w:b/>
          <w:sz w:val="28"/>
          <w:szCs w:val="28"/>
          <w:lang w:val="uk-UA"/>
        </w:rPr>
      </w:pPr>
      <w:r w:rsidRPr="00FF14AA">
        <w:rPr>
          <w:rFonts w:ascii="Times New Roman" w:hAnsi="Times New Roman"/>
          <w:sz w:val="28"/>
          <w:szCs w:val="28"/>
          <w:lang w:val="uk-UA"/>
        </w:rPr>
        <w:t>Відновлення енергетичного балансу в умовах САК на тлі адемолу добре співствляється із зменшенням енолазної активності, яка віддзеркалює нейроцитоліз (нейронекроз). Справа в тому, що апоптоз, на відміну некрозу – це енергоємний, а значить залежний від наявного пулу АТФ процес. Коли рівень останнього зменшується, ініціація апоптотичних програм стає неможливою, а нейрон, маючи необоротні ультраструктурні пошкодження, гине виключно некротичним шляхом, що, з точку зору єдності цитоморфологічної організації ЦНС, є вкрай несприятливим. Відновлення запасів АТФ сприяє трансформації некротичного на апоптотичний тип, що і проявляється деескалацію активності енолази. Паралельно, нами встановлено, що адемол сприяє пригніченню і апоптотичних механізмів. Отже, досліджуваний препарат, більшою мірою завдяки нормалізації вуглеводного і енергетичного обміну, забезпечує цілісність та єдність структурної цілісності нейронів мозку в умовах САК.</w:t>
      </w: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Ураження клітин головного мозку за цих умов асоціювалось із розвитком дисбалансу в про- та антиоксидантних систем (зменшувалась активність СОД, ГПО та каталази), що супроводжувалось активацією процесів вільнорадикального окиснення ліпідів (зростав вміст МДА – вторинного продукту ліпопероксидації) та окисної деградації білків (збільшувався рівень КГП). Поряд з цим розвивався дисбаланс в системі L-аргінін / NO, а саме виникав дефіцит амінокислоти аргініну в клітинах мозку та збільшувалась продукція нітроген монооксиду за участі NO-синтази.</w:t>
      </w: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Таким чином, використання досліджуваних препаратів показало їх здатність достовірно зменшувати метаболічні розлади, індуковані </w:t>
      </w:r>
      <w:r>
        <w:rPr>
          <w:rFonts w:ascii="Times New Roman" w:hAnsi="Times New Roman"/>
          <w:sz w:val="28"/>
          <w:szCs w:val="28"/>
          <w:lang w:val="uk-UA"/>
        </w:rPr>
        <w:t>ВЧК</w:t>
      </w:r>
      <w:r w:rsidRPr="00FF14AA">
        <w:rPr>
          <w:rFonts w:ascii="Times New Roman" w:hAnsi="Times New Roman"/>
          <w:sz w:val="28"/>
          <w:szCs w:val="28"/>
          <w:lang w:val="uk-UA"/>
        </w:rPr>
        <w:t xml:space="preserve">. Доведено, що нейропротекторна активність адемолу, певною мірою, пов’язана із його антиоксидантною дією, здатністю посилювати енергетичний обмін, покращувати супряження процесів тканинного дихання та окисного фосфорилування, активувати </w:t>
      </w:r>
      <w:r w:rsidRPr="00FF14AA">
        <w:rPr>
          <w:rFonts w:ascii="Times New Roman" w:hAnsi="Times New Roman"/>
          <w:sz w:val="28"/>
          <w:szCs w:val="28"/>
          <w:lang w:val="uk-UA"/>
        </w:rPr>
        <w:lastRenderedPageBreak/>
        <w:t xml:space="preserve">процеси аеробного окиснення глюкози, зменшувати лактатацидоз, відновлювати баланс в системі продукції нітроген монооксиду. За цими ефектами адемол за деякими показниками співставляється з німодипіном, перевершуючи решту препаратів порівняння. </w:t>
      </w: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Style w:val="hps"/>
          <w:rFonts w:ascii="Times New Roman" w:hAnsi="Times New Roman"/>
          <w:sz w:val="28"/>
          <w:szCs w:val="28"/>
          <w:lang w:val="uk-UA"/>
        </w:rPr>
        <w:t xml:space="preserve">Глюкокортикоїднанейротоксичність у відновному періоді інсульту </w:t>
      </w:r>
      <w:r w:rsidRPr="00FF14AA">
        <w:rPr>
          <w:rFonts w:ascii="Times New Roman" w:hAnsi="Times New Roman"/>
          <w:sz w:val="28"/>
          <w:szCs w:val="28"/>
          <w:lang w:val="uk-UA"/>
        </w:rPr>
        <w:t xml:space="preserve">– </w:t>
      </w:r>
      <w:r w:rsidRPr="00FF14AA">
        <w:rPr>
          <w:rStyle w:val="hps"/>
          <w:rFonts w:ascii="Times New Roman" w:hAnsi="Times New Roman"/>
          <w:sz w:val="28"/>
          <w:szCs w:val="28"/>
          <w:lang w:val="uk-UA"/>
        </w:rPr>
        <w:t xml:space="preserve">одна із клітинних мішеней для патогенетичного впливу на нього, а використання фармакологічних препаратів, які здатні протидіяти негативному впливу надлишкових концентрацій глюкокортикоїдів при цереброваскулярній патології </w:t>
      </w:r>
      <w:r w:rsidRPr="00FF14AA">
        <w:rPr>
          <w:rFonts w:ascii="Times New Roman" w:hAnsi="Times New Roman"/>
          <w:sz w:val="28"/>
          <w:szCs w:val="28"/>
          <w:lang w:val="uk-UA"/>
        </w:rPr>
        <w:t>– перспективний напрямок нейропротекції</w:t>
      </w:r>
      <w:r w:rsidRPr="00FF14AA">
        <w:rPr>
          <w:rStyle w:val="hps"/>
          <w:rFonts w:ascii="Times New Roman" w:hAnsi="Times New Roman"/>
          <w:sz w:val="28"/>
          <w:szCs w:val="28"/>
          <w:lang w:val="uk-UA"/>
        </w:rPr>
        <w:t>.</w:t>
      </w:r>
    </w:p>
    <w:p w:rsidR="001F0A71" w:rsidRPr="00FF14AA" w:rsidRDefault="001F0A71" w:rsidP="0069152C">
      <w:pPr>
        <w:widowControl w:val="0"/>
        <w:tabs>
          <w:tab w:val="left" w:pos="1276"/>
          <w:tab w:val="left" w:pos="1701"/>
        </w:tabs>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На основі отриманих даних стосовно змін сироваткових рівнів кортизолу у щурів із ВМК у відновний період інсульту (21-ша доба) можна побудувати наступний варіаційний ряд: псевдооперовані щури &gt;адемол&gt;німодипін&gt;амантадину сульфат &gt; магнію сульфат. В такому ряді той препарат проявляє найбільший антистероїдний вплив на головний мозок, через послаблення глюкокортикоїдноїнейротоксичності, який знаходиться ближче до групи псевдооперованих тварин. Таки</w:t>
      </w:r>
      <w:r w:rsidR="00D67811">
        <w:rPr>
          <w:rFonts w:ascii="Times New Roman" w:hAnsi="Times New Roman"/>
          <w:sz w:val="28"/>
          <w:szCs w:val="28"/>
          <w:lang w:val="uk-UA"/>
        </w:rPr>
        <w:t xml:space="preserve">м чином, адемолу, порівняно </w:t>
      </w:r>
      <w:r w:rsidRPr="00FF14AA">
        <w:rPr>
          <w:rFonts w:ascii="Times New Roman" w:hAnsi="Times New Roman"/>
          <w:sz w:val="28"/>
          <w:szCs w:val="28"/>
          <w:lang w:val="uk-UA"/>
        </w:rPr>
        <w:t>з референтами, притаманна найбільша антиглюкокортикоїдна дія, що доводиться вірогідно потужнішим стабілізуючим впливом на ескалацію титрів даного гормону і це, очевидно, є одним із механізмів його церебропротекторної активності у розрізі формування феномену стероїдної нейротоксичності.</w:t>
      </w:r>
    </w:p>
    <w:p w:rsidR="001F0A71"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На рис. </w:t>
      </w:r>
      <w:r>
        <w:rPr>
          <w:rFonts w:ascii="Times New Roman" w:hAnsi="Times New Roman"/>
          <w:sz w:val="28"/>
          <w:szCs w:val="28"/>
          <w:lang w:val="uk-UA"/>
        </w:rPr>
        <w:t>7</w:t>
      </w:r>
      <w:r w:rsidRPr="00FF14AA">
        <w:rPr>
          <w:rFonts w:ascii="Times New Roman" w:hAnsi="Times New Roman"/>
          <w:sz w:val="28"/>
          <w:szCs w:val="28"/>
          <w:lang w:val="uk-UA"/>
        </w:rPr>
        <w:t>.1 зображено ймовірні шляхи метаболізму адемолу за принципом від менш полярних до більш полярних розчинних метаболітів. Оскільки простий естерний зв'язок досить міцний метаболізм адемолу може відбуватись за рахунок бічного ланцюга. Одним із ймовірних метаболітів в такому випадку є адамантіл-1-іл-оцтова кислота та 2-адамантантил-1-етанол, які екскретуються із сечею.</w:t>
      </w:r>
    </w:p>
    <w:p w:rsidR="001F0A71" w:rsidRPr="00015418" w:rsidRDefault="001F0A71" w:rsidP="0069152C">
      <w:pPr>
        <w:widowControl w:val="0"/>
        <w:spacing w:after="0" w:line="360" w:lineRule="auto"/>
        <w:ind w:firstLine="284"/>
        <w:jc w:val="both"/>
        <w:rPr>
          <w:rFonts w:ascii="Times New Roman" w:hAnsi="Times New Roman"/>
          <w:sz w:val="24"/>
          <w:szCs w:val="24"/>
          <w:lang w:val="uk-UA"/>
        </w:rPr>
      </w:pPr>
    </w:p>
    <w:p w:rsidR="001F0A71" w:rsidRPr="00FF14AA" w:rsidRDefault="001F0A71" w:rsidP="0069152C">
      <w:pPr>
        <w:widowControl w:val="0"/>
        <w:spacing w:after="0" w:line="360" w:lineRule="auto"/>
        <w:ind w:firstLine="284"/>
        <w:jc w:val="center"/>
        <w:rPr>
          <w:rFonts w:ascii="Times New Roman" w:hAnsi="Times New Roman"/>
          <w:sz w:val="28"/>
          <w:szCs w:val="28"/>
          <w:lang w:val="uk-UA"/>
        </w:rPr>
      </w:pPr>
      <w:r w:rsidRPr="00FF14AA">
        <w:rPr>
          <w:rFonts w:ascii="Times New Roman" w:hAnsi="Times New Roman"/>
          <w:noProof/>
          <w:sz w:val="28"/>
          <w:szCs w:val="28"/>
        </w:rPr>
        <w:lastRenderedPageBreak/>
        <w:drawing>
          <wp:inline distT="0" distB="0" distL="0" distR="0">
            <wp:extent cx="4676775" cy="1828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676775" cy="1828800"/>
                    </a:xfrm>
                    <a:prstGeom prst="rect">
                      <a:avLst/>
                    </a:prstGeom>
                    <a:noFill/>
                    <a:ln>
                      <a:noFill/>
                    </a:ln>
                  </pic:spPr>
                </pic:pic>
              </a:graphicData>
            </a:graphic>
          </wp:inline>
        </w:drawing>
      </w:r>
    </w:p>
    <w:p w:rsidR="00086591" w:rsidRDefault="00086591" w:rsidP="0069152C">
      <w:pPr>
        <w:widowControl w:val="0"/>
        <w:spacing w:after="0" w:line="360" w:lineRule="auto"/>
        <w:ind w:firstLine="284"/>
        <w:jc w:val="both"/>
        <w:rPr>
          <w:rFonts w:ascii="Times New Roman" w:hAnsi="Times New Roman"/>
          <w:sz w:val="28"/>
          <w:szCs w:val="28"/>
          <w:lang w:val="uk-UA"/>
        </w:rPr>
      </w:pPr>
    </w:p>
    <w:p w:rsidR="001F0A71" w:rsidRPr="00FF14AA" w:rsidRDefault="001F0A71" w:rsidP="0069152C">
      <w:pPr>
        <w:widowControl w:val="0"/>
        <w:spacing w:after="0" w:line="360" w:lineRule="auto"/>
        <w:ind w:firstLine="284"/>
        <w:jc w:val="both"/>
        <w:rPr>
          <w:rFonts w:ascii="Times New Roman" w:hAnsi="Times New Roman"/>
          <w:sz w:val="28"/>
          <w:szCs w:val="28"/>
          <w:lang w:val="uk-UA"/>
        </w:rPr>
      </w:pPr>
      <w:r w:rsidRPr="00FF14AA">
        <w:rPr>
          <w:rFonts w:ascii="Times New Roman" w:hAnsi="Times New Roman"/>
          <w:sz w:val="28"/>
          <w:szCs w:val="28"/>
          <w:lang w:val="uk-UA"/>
        </w:rPr>
        <w:t xml:space="preserve">Рис. </w:t>
      </w:r>
      <w:r>
        <w:rPr>
          <w:rFonts w:ascii="Times New Roman" w:hAnsi="Times New Roman"/>
          <w:sz w:val="28"/>
          <w:szCs w:val="28"/>
          <w:lang w:val="uk-UA"/>
        </w:rPr>
        <w:t>7</w:t>
      </w:r>
      <w:r w:rsidRPr="00FF14AA">
        <w:rPr>
          <w:rFonts w:ascii="Times New Roman" w:hAnsi="Times New Roman"/>
          <w:sz w:val="28"/>
          <w:szCs w:val="28"/>
          <w:lang w:val="uk-UA"/>
        </w:rPr>
        <w:t>.1 Ймовірні шляхи метаболізму адемолу</w:t>
      </w:r>
    </w:p>
    <w:p w:rsidR="001F0A71" w:rsidRDefault="001F0A71" w:rsidP="0069152C">
      <w:pPr>
        <w:widowControl w:val="0"/>
        <w:spacing w:after="0" w:line="360" w:lineRule="auto"/>
        <w:ind w:firstLine="284"/>
        <w:jc w:val="both"/>
        <w:rPr>
          <w:rStyle w:val="a9"/>
          <w:i w:val="0"/>
          <w:sz w:val="28"/>
          <w:szCs w:val="28"/>
          <w:lang w:val="uk-UA"/>
        </w:rPr>
      </w:pPr>
    </w:p>
    <w:p w:rsidR="001F0A71" w:rsidRPr="001F0A71" w:rsidRDefault="001F0A71" w:rsidP="0069152C">
      <w:pPr>
        <w:widowControl w:val="0"/>
        <w:spacing w:after="0" w:line="360" w:lineRule="auto"/>
        <w:ind w:firstLine="284"/>
        <w:jc w:val="both"/>
        <w:rPr>
          <w:rFonts w:ascii="Times New Roman" w:hAnsi="Times New Roman"/>
          <w:sz w:val="28"/>
          <w:szCs w:val="28"/>
          <w:lang w:val="uk-UA"/>
        </w:rPr>
      </w:pPr>
      <w:r w:rsidRPr="001F0A71">
        <w:rPr>
          <w:rStyle w:val="a9"/>
          <w:rFonts w:ascii="Times New Roman" w:hAnsi="Times New Roman"/>
          <w:i w:val="0"/>
          <w:sz w:val="28"/>
          <w:szCs w:val="28"/>
          <w:lang w:val="uk-UA"/>
        </w:rPr>
        <w:t xml:space="preserve">Аналізуючи особливості хімічного каркасу (скелету) молекули адемолу, можливо намітити та передбачити ймовірні шляхи хімічної модифікації молекули адемолу та які функціональні групи необхідні для введення в цю структуру для посилення афінності до різних сайтів NMDA рецепторів із подальшою метою синтезу більш ефективного нейропротектора. </w:t>
      </w:r>
      <w:r w:rsidRPr="001F0A71">
        <w:rPr>
          <w:rFonts w:ascii="Times New Roman" w:hAnsi="Times New Roman"/>
          <w:sz w:val="28"/>
          <w:szCs w:val="28"/>
          <w:lang w:val="uk-UA"/>
        </w:rPr>
        <w:t>Зіставляючи структуру адемолу і амантадину (1-адамантіламін), слід відмітити, що обидва препарати є слабкими антагоністами глутаматних NMDA-рецепторів та гальмують генерацію імпульсів в моторних нейронах ЦНС</w:t>
      </w:r>
      <w:r w:rsidR="00D67811">
        <w:rPr>
          <w:rFonts w:ascii="Times New Roman" w:hAnsi="Times New Roman"/>
          <w:sz w:val="28"/>
          <w:szCs w:val="28"/>
          <w:lang w:val="uk-UA"/>
        </w:rPr>
        <w:t>. В</w:t>
      </w:r>
      <w:r w:rsidRPr="001F0A71">
        <w:rPr>
          <w:rFonts w:ascii="Times New Roman" w:hAnsi="Times New Roman"/>
          <w:sz w:val="28"/>
          <w:szCs w:val="28"/>
          <w:lang w:val="uk-UA"/>
        </w:rPr>
        <w:t>ведення NH</w:t>
      </w:r>
      <w:r w:rsidRPr="001F0A71">
        <w:rPr>
          <w:rFonts w:ascii="Times New Roman" w:hAnsi="Times New Roman"/>
          <w:sz w:val="28"/>
          <w:szCs w:val="28"/>
          <w:vertAlign w:val="subscript"/>
          <w:lang w:val="uk-UA"/>
        </w:rPr>
        <w:t>2</w:t>
      </w:r>
      <w:r w:rsidRPr="001F0A71">
        <w:rPr>
          <w:rFonts w:ascii="Times New Roman" w:hAnsi="Times New Roman"/>
          <w:sz w:val="28"/>
          <w:szCs w:val="28"/>
          <w:lang w:val="uk-UA"/>
        </w:rPr>
        <w:t xml:space="preserve">-аминогрупи буде сприяти підсиленню описаного виду фармакологічної </w:t>
      </w:r>
      <w:r w:rsidR="00D67811">
        <w:rPr>
          <w:rFonts w:ascii="Times New Roman" w:hAnsi="Times New Roman"/>
          <w:sz w:val="28"/>
          <w:szCs w:val="28"/>
          <w:lang w:val="uk-UA"/>
        </w:rPr>
        <w:t>та рецепторної активності. М</w:t>
      </w:r>
      <w:r w:rsidRPr="001F0A71">
        <w:rPr>
          <w:rFonts w:ascii="Times New Roman" w:hAnsi="Times New Roman"/>
          <w:sz w:val="28"/>
          <w:szCs w:val="28"/>
          <w:lang w:val="uk-UA"/>
        </w:rPr>
        <w:t>ожна рекомендувати включити в молекулу залишки гліцину або глутамінової кислоти. На підтримку цієї тези стосовно наявної вільної аміно-групи безпосередньо пов'язаної із адамантановим каркасом вказують і дані про препарат із групи аміно-адамантанів – мідантан, який має ще більшу, ніж іони Mg</w:t>
      </w:r>
      <w:r w:rsidRPr="001F0A71">
        <w:rPr>
          <w:rFonts w:ascii="Times New Roman" w:hAnsi="Times New Roman"/>
          <w:sz w:val="28"/>
          <w:szCs w:val="28"/>
          <w:vertAlign w:val="superscript"/>
          <w:lang w:val="uk-UA"/>
        </w:rPr>
        <w:t>2+</w:t>
      </w:r>
      <w:r w:rsidRPr="001F0A71">
        <w:rPr>
          <w:rFonts w:ascii="Times New Roman" w:hAnsi="Times New Roman"/>
          <w:sz w:val="28"/>
          <w:szCs w:val="28"/>
          <w:lang w:val="uk-UA"/>
        </w:rPr>
        <w:t>тропність до каналу рецептора, а зв'язуючись із ним блокує процеси, пов'язані з входженням іонів кальцію в канал. Також можна рекомендувати до введення груп, які гіпотетично будуть хелатувати іони Mg</w:t>
      </w:r>
      <w:r w:rsidRPr="001F0A71">
        <w:rPr>
          <w:rFonts w:ascii="Times New Roman" w:hAnsi="Times New Roman"/>
          <w:sz w:val="28"/>
          <w:szCs w:val="28"/>
          <w:vertAlign w:val="superscript"/>
          <w:lang w:val="uk-UA"/>
        </w:rPr>
        <w:t>2+</w:t>
      </w:r>
      <w:r w:rsidRPr="001F0A71">
        <w:rPr>
          <w:rFonts w:ascii="Times New Roman" w:hAnsi="Times New Roman"/>
          <w:sz w:val="28"/>
          <w:szCs w:val="28"/>
          <w:lang w:val="uk-UA"/>
        </w:rPr>
        <w:t xml:space="preserve"> і не пускати їх в канал NMDA-рецепторів. Наприклад, радикал етилендіамін-тетраоцтової кислоти (залишок Трілону Б).</w:t>
      </w:r>
    </w:p>
    <w:p w:rsidR="001F0A71" w:rsidRPr="001F0A71" w:rsidRDefault="001F0A71" w:rsidP="0069152C">
      <w:pPr>
        <w:widowControl w:val="0"/>
        <w:spacing w:after="0" w:line="360" w:lineRule="auto"/>
        <w:ind w:firstLine="284"/>
        <w:jc w:val="both"/>
        <w:rPr>
          <w:rFonts w:ascii="Times New Roman" w:hAnsi="Times New Roman"/>
          <w:sz w:val="28"/>
          <w:szCs w:val="28"/>
          <w:lang w:val="uk-UA"/>
        </w:rPr>
      </w:pPr>
      <w:r w:rsidRPr="001F0A71">
        <w:rPr>
          <w:rFonts w:ascii="Times New Roman" w:hAnsi="Times New Roman"/>
          <w:sz w:val="28"/>
          <w:szCs w:val="28"/>
          <w:lang w:val="uk-UA"/>
        </w:rPr>
        <w:t xml:space="preserve">Метаболізм адемолу може відбуватись, як за рахунок бічного ланцюга із утворенням його метаболіту адамантіл-1-іл-оцтової кислоти і 2-адамантантил-1-етанолу, що екскретуються із сечею, так і внаслідок зв’язування адемолу із альбумінами плазми, що забезпечує альтернативний шлях метаболізму, який </w:t>
      </w:r>
      <w:r w:rsidRPr="001F0A71">
        <w:rPr>
          <w:rFonts w:ascii="Times New Roman" w:hAnsi="Times New Roman"/>
          <w:sz w:val="28"/>
          <w:szCs w:val="28"/>
          <w:lang w:val="uk-UA"/>
        </w:rPr>
        <w:lastRenderedPageBreak/>
        <w:t>відбувається повільно в печінці завдяки наявності інертного адамантанового радикалу. Введення NH</w:t>
      </w:r>
      <w:r w:rsidRPr="001F0A71">
        <w:rPr>
          <w:rFonts w:ascii="Times New Roman" w:hAnsi="Times New Roman"/>
          <w:sz w:val="28"/>
          <w:szCs w:val="28"/>
          <w:vertAlign w:val="subscript"/>
          <w:lang w:val="uk-UA"/>
        </w:rPr>
        <w:t>2</w:t>
      </w:r>
      <w:r w:rsidRPr="001F0A71">
        <w:rPr>
          <w:rFonts w:ascii="Times New Roman" w:hAnsi="Times New Roman"/>
          <w:sz w:val="28"/>
          <w:szCs w:val="28"/>
          <w:lang w:val="uk-UA"/>
        </w:rPr>
        <w:t xml:space="preserve">-аминогрупи, залишків гліцину або глутамінової кислоти до каркасу молекули адемолу, буде сприяти </w:t>
      </w:r>
      <w:r w:rsidRPr="001F0A71">
        <w:rPr>
          <w:rStyle w:val="a9"/>
          <w:rFonts w:ascii="Times New Roman" w:hAnsi="Times New Roman"/>
          <w:i w:val="0"/>
          <w:sz w:val="28"/>
          <w:szCs w:val="28"/>
          <w:lang w:val="uk-UA"/>
        </w:rPr>
        <w:t>посиленню його афінності,</w:t>
      </w:r>
      <w:r w:rsidRPr="001F0A71">
        <w:rPr>
          <w:rFonts w:ascii="Times New Roman" w:hAnsi="Times New Roman"/>
          <w:sz w:val="28"/>
          <w:szCs w:val="28"/>
          <w:lang w:val="uk-UA"/>
        </w:rPr>
        <w:t xml:space="preserve"> що підсилить нейропротекторну активність через більш повну та фізіологічну блокаду </w:t>
      </w:r>
      <w:r w:rsidRPr="001F0A71">
        <w:rPr>
          <w:rStyle w:val="a9"/>
          <w:rFonts w:ascii="Times New Roman" w:hAnsi="Times New Roman"/>
          <w:i w:val="0"/>
          <w:sz w:val="28"/>
          <w:szCs w:val="28"/>
          <w:lang w:val="uk-UA"/>
        </w:rPr>
        <w:t xml:space="preserve">NMDA-рецепторів. </w:t>
      </w:r>
    </w:p>
    <w:p w:rsidR="001F0A71" w:rsidRDefault="001F0A71" w:rsidP="0069152C">
      <w:pPr>
        <w:spacing w:after="160" w:line="259" w:lineRule="auto"/>
        <w:ind w:firstLine="284"/>
        <w:rPr>
          <w:rFonts w:ascii="Times New Roman" w:hAnsi="Times New Roman"/>
          <w:lang w:val="uk-UA"/>
        </w:rPr>
      </w:pPr>
      <w:r>
        <w:rPr>
          <w:rFonts w:ascii="Times New Roman" w:hAnsi="Times New Roman"/>
          <w:lang w:val="uk-UA"/>
        </w:rPr>
        <w:br w:type="page"/>
      </w:r>
    </w:p>
    <w:p w:rsidR="001F0A71" w:rsidRDefault="001F0A71" w:rsidP="0069152C">
      <w:pPr>
        <w:pStyle w:val="1"/>
        <w:spacing w:line="360" w:lineRule="auto"/>
        <w:ind w:firstLine="284"/>
        <w:jc w:val="center"/>
        <w:rPr>
          <w:b w:val="0"/>
          <w:sz w:val="28"/>
          <w:szCs w:val="28"/>
          <w:lang w:val="uk-UA"/>
        </w:rPr>
      </w:pPr>
      <w:r w:rsidRPr="00D75730">
        <w:rPr>
          <w:sz w:val="28"/>
          <w:szCs w:val="28"/>
          <w:lang w:val="uk-UA"/>
        </w:rPr>
        <w:lastRenderedPageBreak/>
        <w:t>ВИСНОВКИ</w:t>
      </w:r>
    </w:p>
    <w:p w:rsidR="001F0A71" w:rsidRPr="00303829" w:rsidRDefault="001F0A71" w:rsidP="0069152C">
      <w:pPr>
        <w:ind w:firstLine="284"/>
        <w:rPr>
          <w:lang w:val="uk-UA"/>
        </w:rPr>
      </w:pPr>
    </w:p>
    <w:p w:rsidR="001F0A71" w:rsidRPr="00CA7C3E" w:rsidRDefault="001F0A71" w:rsidP="0069152C">
      <w:pPr>
        <w:widowControl w:val="0"/>
        <w:tabs>
          <w:tab w:val="left" w:pos="567"/>
          <w:tab w:val="left" w:pos="993"/>
        </w:tabs>
        <w:spacing w:after="0" w:line="360" w:lineRule="auto"/>
        <w:ind w:firstLine="284"/>
        <w:jc w:val="both"/>
        <w:rPr>
          <w:rFonts w:ascii="Times New Roman" w:hAnsi="Times New Roman"/>
          <w:sz w:val="28"/>
          <w:szCs w:val="28"/>
          <w:lang w:val="uk-UA"/>
        </w:rPr>
      </w:pPr>
      <w:r w:rsidRPr="00CA7C3E">
        <w:rPr>
          <w:rFonts w:ascii="Times New Roman" w:hAnsi="Times New Roman"/>
          <w:sz w:val="28"/>
          <w:szCs w:val="28"/>
          <w:lang w:val="uk-UA"/>
        </w:rPr>
        <w:t xml:space="preserve">У дисертаційній роботі представлено нове розв’язання актуального завдання фармакології, що полягає у підвищенні ефективності нейропротекції в умовах внутрішньочерепного крововиливу на підставі експериментально обґрунтованої доцільності і можливості застосування за новим призначенням блокатора NMDA рецепторів 1,0 % розчину 1-адамантилтилокси-3-морфоліно-2-пропанолу гідрохлориду (адемол). </w:t>
      </w:r>
    </w:p>
    <w:p w:rsidR="001F0A71" w:rsidRPr="00CA7C3E" w:rsidRDefault="001F0A71" w:rsidP="0069152C">
      <w:pPr>
        <w:pStyle w:val="a5"/>
        <w:widowControl w:val="0"/>
        <w:numPr>
          <w:ilvl w:val="0"/>
          <w:numId w:val="30"/>
        </w:numPr>
        <w:tabs>
          <w:tab w:val="left" w:pos="567"/>
          <w:tab w:val="left" w:pos="709"/>
          <w:tab w:val="left" w:pos="993"/>
        </w:tabs>
        <w:spacing w:after="0" w:line="360" w:lineRule="auto"/>
        <w:ind w:left="0" w:firstLine="284"/>
        <w:jc w:val="both"/>
        <w:rPr>
          <w:rFonts w:ascii="Times New Roman" w:hAnsi="Times New Roman"/>
          <w:lang w:val="uk-UA"/>
        </w:rPr>
      </w:pPr>
      <w:r w:rsidRPr="00CA7C3E">
        <w:rPr>
          <w:rFonts w:ascii="Times New Roman" w:hAnsi="Times New Roman"/>
          <w:sz w:val="28"/>
          <w:szCs w:val="28"/>
          <w:lang w:val="uk-UA"/>
        </w:rPr>
        <w:t xml:space="preserve">Показано, що для первинного скринінгу перспективних нейропротекторів доцільно використовувати модель субарахноідального крововиливу, яка в залежності від об’єму введеної аутокрові може бути поділена на на три ступеня важкості: тяжкий ступінь (0,1 мл/кг аутокрові) – смертність 70 %, активність нейрон-специфічної енолази 4,89±0,14 нг/мл, неврологічний дефіцит </w:t>
      </w:r>
      <w:r w:rsidRPr="00CA7C3E">
        <w:rPr>
          <w:rFonts w:ascii="Times New Roman" w:hAnsi="Times New Roman"/>
          <w:sz w:val="28"/>
          <w:lang w:val="uk-UA"/>
        </w:rPr>
        <w:t>за шкалою С.Р. McGraw</w:t>
      </w:r>
      <w:r w:rsidRPr="00CA7C3E">
        <w:rPr>
          <w:rFonts w:ascii="Times New Roman" w:hAnsi="Times New Roman"/>
          <w:sz w:val="28"/>
          <w:szCs w:val="28"/>
          <w:lang w:val="uk-UA"/>
        </w:rPr>
        <w:t xml:space="preserve"> 11,9±0,33 бали, внутрішньочерепний тиск 16,4±0,57 у.о; середній ступінь (0,07 мл/кг аутокрові) – смертність 30 %, активність NSE 3,31±0,09 нг/мл, неврологічний дефіцит 6,53±0,33 бали, внутрішньочерепний тиск 10,6±0,43 у.о.; легкий ступінь (0,05 мл/кг аутокрові) – смертність 20 %, активність нейрон-специфічної енолази 2,26±0,08 нг/мл, неврологічний дефіцит 5,07±0,28 бали, внутрішньочерепний тиск 7,57±0,37 у.о.</w:t>
      </w:r>
    </w:p>
    <w:p w:rsidR="001F0A71" w:rsidRPr="00CA7C3E" w:rsidRDefault="001F0A71" w:rsidP="0069152C">
      <w:pPr>
        <w:pStyle w:val="a5"/>
        <w:widowControl w:val="0"/>
        <w:numPr>
          <w:ilvl w:val="0"/>
          <w:numId w:val="30"/>
        </w:numPr>
        <w:tabs>
          <w:tab w:val="left" w:pos="567"/>
          <w:tab w:val="left" w:pos="709"/>
          <w:tab w:val="left" w:pos="993"/>
        </w:tabs>
        <w:spacing w:after="0" w:line="360" w:lineRule="auto"/>
        <w:ind w:left="0" w:firstLine="284"/>
        <w:jc w:val="both"/>
        <w:rPr>
          <w:rFonts w:ascii="Times New Roman" w:hAnsi="Times New Roman"/>
          <w:sz w:val="28"/>
          <w:szCs w:val="28"/>
          <w:lang w:val="uk-UA"/>
        </w:rPr>
      </w:pPr>
      <w:r w:rsidRPr="00CA7C3E">
        <w:rPr>
          <w:rFonts w:ascii="Times New Roman" w:hAnsi="Times New Roman"/>
          <w:sz w:val="28"/>
          <w:szCs w:val="28"/>
          <w:lang w:val="uk-UA"/>
        </w:rPr>
        <w:t>Аналізуючи показник летальності в критичний період (48 година) субарахноідального крововиливу тяжкого ступеня та внутрішньомозкового крововиливу середнього ступеня за ступенем церебропротекторної дії досліджувані препарати розташовані в наступний ряд: псевдооперовані щури &gt;адемол 2 мг/кг &gt;адемол 1 мг/кг = адемол 5 мг/кг &gt;німодипін = амантадину сульфат &gt; магнію сульфат. На підставі цього обрано умовно-ефективну дозу адемолу, яка становить 2 мг/кг довенно, оскільки в цій дозі препарат статистично вірогідно підвищує виживаність тварин в порівнянні з референтними засобами в середньому на 60,0-88,2 % (р&lt;0,05), що вказує на перспективність і доцільність подальшої доклінічної оцінки його церебропротекторних властивостей.</w:t>
      </w:r>
    </w:p>
    <w:p w:rsidR="001F0A71" w:rsidRPr="00CA7C3E" w:rsidRDefault="001F0A71" w:rsidP="0069152C">
      <w:pPr>
        <w:pStyle w:val="a5"/>
        <w:widowControl w:val="0"/>
        <w:numPr>
          <w:ilvl w:val="0"/>
          <w:numId w:val="30"/>
        </w:numPr>
        <w:tabs>
          <w:tab w:val="left" w:pos="567"/>
          <w:tab w:val="left" w:pos="709"/>
          <w:tab w:val="left" w:pos="993"/>
        </w:tabs>
        <w:spacing w:after="0" w:line="360" w:lineRule="auto"/>
        <w:ind w:left="0" w:firstLine="284"/>
        <w:jc w:val="both"/>
        <w:rPr>
          <w:rFonts w:ascii="Times New Roman" w:hAnsi="Times New Roman"/>
          <w:sz w:val="28"/>
          <w:szCs w:val="28"/>
          <w:lang w:val="uk-UA"/>
        </w:rPr>
      </w:pPr>
      <w:r w:rsidRPr="00CA7C3E">
        <w:rPr>
          <w:rFonts w:ascii="Times New Roman" w:hAnsi="Times New Roman"/>
          <w:sz w:val="28"/>
          <w:szCs w:val="28"/>
          <w:lang w:val="uk-UA"/>
        </w:rPr>
        <w:lastRenderedPageBreak/>
        <w:t xml:space="preserve">У критичний періодсубарахноїдального крововиливу тяжкого ступеня адемол (2 мг/кг довенно) усуває прояви неврологічного дефіциту (показник </w:t>
      </w:r>
      <w:r w:rsidRPr="00CA7C3E">
        <w:rPr>
          <w:rFonts w:ascii="Times New Roman" w:hAnsi="Times New Roman"/>
          <w:sz w:val="28"/>
          <w:lang w:val="uk-UA"/>
        </w:rPr>
        <w:t>за шкалою С.Р. McGraw</w:t>
      </w:r>
      <w:r w:rsidRPr="00CA7C3E">
        <w:rPr>
          <w:rFonts w:ascii="Times New Roman" w:hAnsi="Times New Roman"/>
          <w:sz w:val="28"/>
          <w:szCs w:val="28"/>
          <w:lang w:val="uk-UA"/>
        </w:rPr>
        <w:t xml:space="preserve"> був у 2,1 рази меншим ніж у групі контрольної патології, вірогідно переважав </w:t>
      </w:r>
      <w:r w:rsidRPr="00CA7C3E">
        <w:rPr>
          <w:rFonts w:ascii="Times New Roman" w:hAnsi="Times New Roman"/>
          <w:sz w:val="28"/>
          <w:lang w:val="uk-UA"/>
        </w:rPr>
        <w:t>німодипін та амантадину сульфат у 1,22 та 1,35 рази, відповідно (</w:t>
      </w:r>
      <w:r w:rsidRPr="00CA7C3E">
        <w:rPr>
          <w:rFonts w:ascii="Times New Roman" w:hAnsi="Times New Roman"/>
          <w:sz w:val="28"/>
          <w:szCs w:val="28"/>
          <w:lang w:val="uk-UA"/>
        </w:rPr>
        <w:t xml:space="preserve">р&lt;0,05). У відновний період (21-ша доба) внутрішньомозкового крововиливу середнього ступеня важкості за ступенем деескалації неврологічної симптоматики адемол вірогідно переважає ефективність амантадину та магнію сульфату в 1,34 та 1,51 рази відповідно, більш виразно покращує мнемотропну активність за показниками тесту умовної реакції пасивного уникання порівняно з препаратами порівняння. </w:t>
      </w:r>
    </w:p>
    <w:p w:rsidR="001F0A71" w:rsidRPr="00CA7C3E" w:rsidRDefault="001F0A71" w:rsidP="0069152C">
      <w:pPr>
        <w:pStyle w:val="a5"/>
        <w:widowControl w:val="0"/>
        <w:numPr>
          <w:ilvl w:val="0"/>
          <w:numId w:val="30"/>
        </w:numPr>
        <w:shd w:val="clear" w:color="auto" w:fill="FFFFFF"/>
        <w:tabs>
          <w:tab w:val="left" w:pos="567"/>
          <w:tab w:val="left" w:pos="709"/>
          <w:tab w:val="left" w:pos="993"/>
        </w:tabs>
        <w:spacing w:after="0" w:line="360" w:lineRule="auto"/>
        <w:ind w:left="0" w:firstLine="284"/>
        <w:jc w:val="both"/>
        <w:rPr>
          <w:rFonts w:ascii="Times New Roman" w:hAnsi="Times New Roman"/>
          <w:sz w:val="28"/>
          <w:szCs w:val="28"/>
          <w:lang w:val="uk-UA"/>
        </w:rPr>
      </w:pPr>
      <w:r w:rsidRPr="00CA7C3E">
        <w:rPr>
          <w:rFonts w:ascii="Times New Roman" w:hAnsi="Times New Roman"/>
          <w:sz w:val="28"/>
          <w:szCs w:val="28"/>
          <w:lang w:val="uk-UA"/>
        </w:rPr>
        <w:t>Курсова 4-х денна інфузія щурам із модельним внутрішньочерепним крововиливом 1,0 % розчину адемолу (2 мг/кг) та німодипіну (30 мкг/кг) попереджає падіння мозкової перфузії (коефіцієнт мікроциркуляції в корі перевищував показник контрольної патології в середньому в 3,99 та 2,76 рази (внутрішньомозковий крововилив) і у 7,30 та 4,74 разу відповідно (субарахноїдальний крововилив, (р&lt;0,05), збільшує показник об’ємної швидкості мозкового кровотоку в центральній мозковій артерії відносно групи контрольної патології в середньому на 68,4 % (адемол) та 94,1 % (німодипін), р&lt;0,05. На відміну від німодипіну, на тлі інфузіїадемолу показники центральної гемодинаміки (артеріальний та центральний венозний тиск), а також рівень насичення крові киснем не мають вірогідних відмінностей порівняно із вихідними рівнями, а за ступенем депримуючого впливу на значення внутрішньочерепного тиску в умовах субарахноїдального крововиливу адемол перевершує ефективність амантадину і магнію сульфату в середньому у 1,85 рази, р&lt;0,05.</w:t>
      </w:r>
    </w:p>
    <w:p w:rsidR="001F0A71" w:rsidRPr="00CA7C3E" w:rsidRDefault="001F0A71" w:rsidP="0069152C">
      <w:pPr>
        <w:pStyle w:val="a5"/>
        <w:widowControl w:val="0"/>
        <w:numPr>
          <w:ilvl w:val="0"/>
          <w:numId w:val="30"/>
        </w:numPr>
        <w:tabs>
          <w:tab w:val="left" w:pos="567"/>
          <w:tab w:val="left" w:pos="709"/>
          <w:tab w:val="left" w:pos="993"/>
          <w:tab w:val="left" w:pos="1276"/>
          <w:tab w:val="left" w:pos="1701"/>
        </w:tabs>
        <w:spacing w:after="0" w:line="360" w:lineRule="auto"/>
        <w:ind w:left="0" w:firstLine="284"/>
        <w:jc w:val="both"/>
        <w:rPr>
          <w:rFonts w:ascii="Times New Roman" w:hAnsi="Times New Roman"/>
          <w:sz w:val="28"/>
          <w:szCs w:val="28"/>
          <w:lang w:val="uk-UA"/>
        </w:rPr>
      </w:pPr>
      <w:r w:rsidRPr="00CA7C3E">
        <w:rPr>
          <w:rFonts w:ascii="Times New Roman" w:hAnsi="Times New Roman"/>
          <w:sz w:val="28"/>
          <w:szCs w:val="28"/>
          <w:lang w:val="uk-UA"/>
        </w:rPr>
        <w:t xml:space="preserve">В критичний період субарахноїдального крововиливу адемол за величиною послаблення нейроцитолізу (за активністю нейромаркера нейрон-специфічної енолази) вірогідно переважає німодипін, амантадин та магнію сульфат в середньому у 1,57, 1,49 та 2,04 рази, виявляє при цьому антинейроапоптотичний та антинейрогліопроліферативний ефекти (за ступенем фрагментації ядерної ДНК та рівнем білка S100 і активацією фази синтезу ДНК), переважаючи німодипін в середньому на 13,0 % (апоптоз), та у 1,35 та 1,68 рази (нейропроліферація за </w:t>
      </w:r>
      <w:r w:rsidRPr="00CA7C3E">
        <w:rPr>
          <w:rFonts w:ascii="Times New Roman" w:hAnsi="Times New Roman"/>
          <w:sz w:val="28"/>
          <w:szCs w:val="28"/>
          <w:lang w:val="uk-UA"/>
        </w:rPr>
        <w:lastRenderedPageBreak/>
        <w:t xml:space="preserve">титрами білка S100 і протоково-цитометричним критерієм), р&lt;0,05. </w:t>
      </w:r>
    </w:p>
    <w:p w:rsidR="001F0A71" w:rsidRPr="00CA7C3E" w:rsidRDefault="001F0A71" w:rsidP="0069152C">
      <w:pPr>
        <w:pStyle w:val="a5"/>
        <w:widowControl w:val="0"/>
        <w:tabs>
          <w:tab w:val="left" w:pos="709"/>
          <w:tab w:val="left" w:pos="851"/>
          <w:tab w:val="left" w:pos="993"/>
          <w:tab w:val="left" w:pos="1276"/>
          <w:tab w:val="left" w:pos="1701"/>
        </w:tabs>
        <w:spacing w:after="0" w:line="360" w:lineRule="auto"/>
        <w:ind w:left="0" w:firstLine="284"/>
        <w:jc w:val="both"/>
        <w:rPr>
          <w:rFonts w:ascii="Times New Roman" w:hAnsi="Times New Roman"/>
          <w:sz w:val="28"/>
          <w:szCs w:val="28"/>
          <w:lang w:val="uk-UA"/>
        </w:rPr>
      </w:pPr>
      <w:r w:rsidRPr="00CA7C3E">
        <w:rPr>
          <w:rFonts w:ascii="Times New Roman" w:hAnsi="Times New Roman"/>
          <w:sz w:val="28"/>
          <w:szCs w:val="28"/>
          <w:lang w:val="uk-UA"/>
        </w:rPr>
        <w:t>За даними світлової мікроскопії, гістоморфологічна картина на тлі терапії адемолом і німодипіном має вигляд, наближений до панорами у псевдооперованих щурів, що доповнює факти, які було отримано при імуноферментному та цитометричному досліджені.</w:t>
      </w:r>
    </w:p>
    <w:p w:rsidR="001F0A71" w:rsidRPr="00CA7C3E" w:rsidRDefault="001F0A71" w:rsidP="0069152C">
      <w:pPr>
        <w:pStyle w:val="a5"/>
        <w:widowControl w:val="0"/>
        <w:numPr>
          <w:ilvl w:val="0"/>
          <w:numId w:val="30"/>
        </w:numPr>
        <w:shd w:val="clear" w:color="auto" w:fill="FFFFFF"/>
        <w:tabs>
          <w:tab w:val="left" w:pos="567"/>
          <w:tab w:val="left" w:pos="709"/>
          <w:tab w:val="left" w:pos="993"/>
        </w:tabs>
        <w:spacing w:after="0" w:line="360" w:lineRule="auto"/>
        <w:ind w:left="0" w:firstLine="284"/>
        <w:jc w:val="both"/>
        <w:rPr>
          <w:rFonts w:ascii="Times New Roman" w:hAnsi="Times New Roman"/>
          <w:sz w:val="28"/>
          <w:szCs w:val="28"/>
          <w:lang w:val="uk-UA"/>
        </w:rPr>
      </w:pPr>
      <w:r w:rsidRPr="00CA7C3E">
        <w:rPr>
          <w:rFonts w:ascii="Times New Roman" w:hAnsi="Times New Roman"/>
          <w:sz w:val="28"/>
          <w:szCs w:val="28"/>
          <w:lang w:val="uk-UA"/>
        </w:rPr>
        <w:t xml:space="preserve">Механізм нейропротекторної дії адемолу за умов внутрішночерепного крововиливу включає здатність ліквідувати енергодефіцит мозку (збільшує вміст в мозку АТФ, пірувату та покращує енергетичний заряд відносно показників нелікованих тварин відповідно на 45,1, 42,9 та 22,0 %, р&lt;0,05); зменшувати лактат-ацидоз (зменшує вміст лактату на 31,9 %, р&lt;0,05), оксидативний стрес (знижує рівень малоновогодиальдегіду та карбонільних груп протеїнів в середньому на 30,5 та 18,8 %, на тлі зростання активності  супероксиддисмутази, глутатіонпероксидази і каталази відповідно на 42,1, 25,2 та 37,6 %, р&lt;0,05), модулювання обміну монооксиду азоту (підвищує активність NO-синтази вміст донатора NO L-аргініну в середньому відповідно на 14,0 та 44,0 %, р&lt;0,05). За зазначеними властивостями адемол вірогідно перевершує ефективність амантадину та магнію сульфат. </w:t>
      </w:r>
    </w:p>
    <w:p w:rsidR="001F0A71" w:rsidRPr="00CA7C3E" w:rsidRDefault="001F0A71" w:rsidP="0069152C">
      <w:pPr>
        <w:pStyle w:val="a5"/>
        <w:widowControl w:val="0"/>
        <w:numPr>
          <w:ilvl w:val="0"/>
          <w:numId w:val="30"/>
        </w:numPr>
        <w:shd w:val="clear" w:color="auto" w:fill="FFFFFF"/>
        <w:tabs>
          <w:tab w:val="left" w:pos="567"/>
          <w:tab w:val="left" w:pos="709"/>
          <w:tab w:val="left" w:pos="993"/>
        </w:tabs>
        <w:spacing w:after="0" w:line="360" w:lineRule="auto"/>
        <w:ind w:left="0" w:firstLine="284"/>
        <w:jc w:val="both"/>
        <w:rPr>
          <w:rFonts w:ascii="Times New Roman" w:hAnsi="Times New Roman"/>
          <w:sz w:val="28"/>
          <w:szCs w:val="28"/>
          <w:lang w:val="uk-UA"/>
        </w:rPr>
      </w:pPr>
      <w:r w:rsidRPr="00CA7C3E">
        <w:rPr>
          <w:rFonts w:ascii="Times New Roman" w:hAnsi="Times New Roman"/>
          <w:sz w:val="28"/>
          <w:szCs w:val="28"/>
          <w:lang w:val="uk-UA"/>
        </w:rPr>
        <w:t xml:space="preserve">За </w:t>
      </w:r>
      <w:r w:rsidR="00D67811">
        <w:rPr>
          <w:rFonts w:ascii="Times New Roman" w:hAnsi="Times New Roman"/>
          <w:sz w:val="28"/>
          <w:szCs w:val="28"/>
          <w:lang w:val="uk-UA"/>
        </w:rPr>
        <w:t>антиексайтотоксичним ефектом</w:t>
      </w:r>
      <w:r w:rsidRPr="00CA7C3E">
        <w:rPr>
          <w:rFonts w:ascii="Times New Roman" w:hAnsi="Times New Roman"/>
          <w:sz w:val="28"/>
          <w:szCs w:val="28"/>
          <w:lang w:val="uk-UA"/>
        </w:rPr>
        <w:t>адемол в дозі 2 мг/кг співставляється з такими ефектами німодипіну та амантадину сульфату, і був статистично вищим за дію магнію сульфату. В групі тварин, які отримували адемол, рівень глутамату в мозку щурів з внутрішньомозковим крововиливом становить 16,3±0,32 нмоль/мг протеїну, що в 1,93 рази менше, ніж у тварин контрольної патології (p&lt;0,05). За спроможністю послаблювати явище глюкокортикоїдноїнейротоксичності (зниження сироваткового рівня кортизолу в умовах внутрішньомозкового крововиливу) адемол вірогідно переважає дієвість німодипіну та амантадину і магнію сульфату в середньому відповідно у 1,51, 1,97 та 2,63 рази, р&lt;0,05.</w:t>
      </w:r>
    </w:p>
    <w:p w:rsidR="001F0A71" w:rsidRDefault="001F0A71">
      <w:pPr>
        <w:spacing w:after="160" w:line="259" w:lineRule="auto"/>
        <w:rPr>
          <w:rFonts w:ascii="Times New Roman" w:hAnsi="Times New Roman"/>
          <w:lang w:val="uk-UA"/>
        </w:rPr>
      </w:pPr>
      <w:r>
        <w:rPr>
          <w:rFonts w:ascii="Times New Roman" w:hAnsi="Times New Roman"/>
          <w:lang w:val="uk-UA"/>
        </w:rPr>
        <w:br w:type="page"/>
      </w:r>
    </w:p>
    <w:p w:rsidR="001F0A71" w:rsidRPr="0026450D" w:rsidRDefault="001F0A71" w:rsidP="004F28EA">
      <w:pPr>
        <w:pStyle w:val="a5"/>
        <w:shd w:val="clear" w:color="auto" w:fill="FFFFFF"/>
        <w:tabs>
          <w:tab w:val="left" w:pos="-1080"/>
          <w:tab w:val="left" w:pos="0"/>
          <w:tab w:val="left" w:pos="426"/>
        </w:tabs>
        <w:spacing w:after="0" w:line="360" w:lineRule="auto"/>
        <w:ind w:left="0"/>
        <w:jc w:val="center"/>
        <w:rPr>
          <w:rFonts w:ascii="Times New Roman" w:hAnsi="Times New Roman"/>
          <w:b/>
          <w:bCs/>
          <w:sz w:val="28"/>
          <w:szCs w:val="28"/>
          <w:lang w:val="uk-UA"/>
        </w:rPr>
      </w:pPr>
      <w:r w:rsidRPr="0026450D">
        <w:rPr>
          <w:rFonts w:ascii="Times New Roman" w:hAnsi="Times New Roman"/>
          <w:b/>
          <w:bCs/>
          <w:sz w:val="28"/>
          <w:szCs w:val="28"/>
          <w:lang w:val="uk-UA"/>
        </w:rPr>
        <w:lastRenderedPageBreak/>
        <w:t>СПИСОК ВИКОРИСТАНИХ ДЖЕРЕЛ</w:t>
      </w:r>
    </w:p>
    <w:p w:rsidR="001F0A71" w:rsidRPr="0026450D" w:rsidRDefault="001F0A71" w:rsidP="001F0A71">
      <w:pPr>
        <w:pStyle w:val="a5"/>
        <w:shd w:val="clear" w:color="auto" w:fill="FFFFFF"/>
        <w:tabs>
          <w:tab w:val="left" w:pos="-1080"/>
          <w:tab w:val="left" w:pos="0"/>
          <w:tab w:val="left" w:pos="426"/>
        </w:tabs>
        <w:spacing w:after="0" w:line="360" w:lineRule="auto"/>
        <w:ind w:left="0" w:firstLine="284"/>
        <w:jc w:val="both"/>
        <w:rPr>
          <w:rFonts w:ascii="Times New Roman" w:hAnsi="Times New Roman"/>
          <w:b/>
          <w:bCs/>
          <w:sz w:val="28"/>
          <w:szCs w:val="28"/>
          <w:lang w:val="uk-UA"/>
        </w:rPr>
      </w:pPr>
    </w:p>
    <w:p w:rsidR="001F0A71" w:rsidRPr="0026450D" w:rsidRDefault="001F0A71" w:rsidP="00E1086D">
      <w:pPr>
        <w:pStyle w:val="a5"/>
        <w:numPr>
          <w:ilvl w:val="0"/>
          <w:numId w:val="34"/>
        </w:numPr>
        <w:shd w:val="clear" w:color="auto" w:fill="FFFFFF"/>
        <w:tabs>
          <w:tab w:val="left" w:pos="-1080"/>
          <w:tab w:val="left" w:pos="851"/>
          <w:tab w:val="left" w:pos="993"/>
        </w:tabs>
        <w:spacing w:after="0" w:line="360" w:lineRule="auto"/>
        <w:ind w:left="0" w:firstLine="284"/>
        <w:jc w:val="both"/>
        <w:rPr>
          <w:rFonts w:ascii="Times New Roman" w:hAnsi="Times New Roman"/>
          <w:bCs/>
          <w:sz w:val="28"/>
          <w:szCs w:val="28"/>
          <w:lang w:val="uk-UA"/>
        </w:rPr>
      </w:pPr>
      <w:r w:rsidRPr="0026450D">
        <w:rPr>
          <w:rFonts w:ascii="Times New Roman" w:hAnsi="Times New Roman"/>
          <w:bCs/>
          <w:sz w:val="28"/>
          <w:szCs w:val="28"/>
          <w:lang w:val="uk-UA"/>
        </w:rPr>
        <w:t>Особенностиэпидемиологииинвалидност и при заболеванияхнервнойсистемы в Украине: клинико-экспертныесопоставления (10-летний украинскийопыт) / В. А</w:t>
      </w:r>
      <w:r w:rsidRPr="0026450D">
        <w:rPr>
          <w:rFonts w:ascii="Times New Roman" w:hAnsi="Times New Roman"/>
          <w:bCs/>
          <w:sz w:val="28"/>
          <w:szCs w:val="28"/>
        </w:rPr>
        <w:t>.</w:t>
      </w:r>
      <w:r w:rsidRPr="0026450D">
        <w:rPr>
          <w:rFonts w:ascii="Times New Roman" w:hAnsi="Times New Roman"/>
          <w:bCs/>
          <w:sz w:val="28"/>
          <w:szCs w:val="28"/>
          <w:lang w:val="uk-UA"/>
        </w:rPr>
        <w:t xml:space="preserve"> Голик и др.Укр. вісн. мед.-соц. експертизи. 2014. № 1 (11). С. 14</w:t>
      </w:r>
      <w:r w:rsidRPr="0026450D">
        <w:rPr>
          <w:sz w:val="28"/>
          <w:szCs w:val="28"/>
          <w:lang w:eastAsia="uk-UA"/>
        </w:rPr>
        <w:t>–</w:t>
      </w:r>
      <w:r w:rsidRPr="0026450D">
        <w:rPr>
          <w:rFonts w:ascii="Times New Roman" w:hAnsi="Times New Roman"/>
          <w:bCs/>
          <w:sz w:val="28"/>
          <w:szCs w:val="28"/>
          <w:lang w:val="uk-UA"/>
        </w:rPr>
        <w:t>21.</w:t>
      </w:r>
    </w:p>
    <w:p w:rsidR="001F0A71" w:rsidRPr="0026450D" w:rsidRDefault="001F0A71" w:rsidP="00E1086D">
      <w:pPr>
        <w:pStyle w:val="a5"/>
        <w:numPr>
          <w:ilvl w:val="0"/>
          <w:numId w:val="34"/>
        </w:numPr>
        <w:shd w:val="clear" w:color="auto" w:fill="FFFFFF"/>
        <w:tabs>
          <w:tab w:val="left" w:pos="-1080"/>
          <w:tab w:val="left" w:pos="851"/>
          <w:tab w:val="left" w:pos="993"/>
        </w:tabs>
        <w:spacing w:after="0" w:line="360" w:lineRule="auto"/>
        <w:ind w:left="0" w:firstLine="284"/>
        <w:jc w:val="both"/>
        <w:rPr>
          <w:rFonts w:ascii="Times New Roman" w:hAnsi="Times New Roman"/>
          <w:bCs/>
          <w:sz w:val="28"/>
          <w:szCs w:val="28"/>
          <w:lang w:val="uk-UA"/>
        </w:rPr>
      </w:pPr>
      <w:r w:rsidRPr="0026450D">
        <w:rPr>
          <w:rFonts w:ascii="Times New Roman" w:hAnsi="Times New Roman"/>
          <w:bCs/>
          <w:sz w:val="28"/>
          <w:szCs w:val="28"/>
          <w:lang w:val="uk-UA"/>
        </w:rPr>
        <w:t xml:space="preserve">Circumstances, activities, andeventsprecipitatinganeurysmalsubarachnoidhemorrhage / M. Matsudaetal. J. StrokeCerebrovasc. Dis. 2007. </w:t>
      </w:r>
      <w:r w:rsidRPr="0026450D">
        <w:rPr>
          <w:rFonts w:ascii="Times New Roman" w:hAnsi="Times New Roman"/>
          <w:sz w:val="28"/>
          <w:szCs w:val="28"/>
          <w:lang w:val="en-US"/>
        </w:rPr>
        <w:t xml:space="preserve">Vol. </w:t>
      </w:r>
      <w:r w:rsidRPr="0026450D">
        <w:rPr>
          <w:rFonts w:ascii="Times New Roman" w:hAnsi="Times New Roman"/>
          <w:bCs/>
          <w:sz w:val="28"/>
          <w:szCs w:val="28"/>
          <w:lang w:val="uk-UA"/>
        </w:rPr>
        <w:t>16 (1). Р. 25–29.</w:t>
      </w:r>
    </w:p>
    <w:p w:rsidR="001F0A71" w:rsidRPr="0026450D" w:rsidRDefault="001F0A71" w:rsidP="00E1086D">
      <w:pPr>
        <w:pStyle w:val="a5"/>
        <w:numPr>
          <w:ilvl w:val="0"/>
          <w:numId w:val="34"/>
        </w:numPr>
        <w:shd w:val="clear" w:color="auto" w:fill="FFFFFF"/>
        <w:tabs>
          <w:tab w:val="left" w:pos="-1080"/>
          <w:tab w:val="left" w:pos="851"/>
          <w:tab w:val="left" w:pos="993"/>
        </w:tabs>
        <w:spacing w:after="0" w:line="360" w:lineRule="auto"/>
        <w:ind w:left="0" w:firstLine="284"/>
        <w:jc w:val="both"/>
        <w:rPr>
          <w:rFonts w:ascii="Times New Roman" w:hAnsi="Times New Roman"/>
          <w:bCs/>
          <w:sz w:val="28"/>
          <w:szCs w:val="28"/>
          <w:lang w:val="uk-UA"/>
        </w:rPr>
      </w:pPr>
      <w:r w:rsidRPr="0026450D">
        <w:rPr>
          <w:rFonts w:ascii="Times New Roman" w:hAnsi="Times New Roman"/>
          <w:bCs/>
          <w:sz w:val="28"/>
          <w:szCs w:val="28"/>
          <w:lang w:val="uk-UA"/>
        </w:rPr>
        <w:t>Гузий А. В.</w:t>
      </w:r>
      <w:hyperlink r:id="rId57" w:history="1">
        <w:r w:rsidRPr="0026450D">
          <w:rPr>
            <w:rFonts w:ascii="Times New Roman" w:hAnsi="Times New Roman"/>
            <w:bCs/>
            <w:sz w:val="28"/>
            <w:szCs w:val="28"/>
            <w:lang w:val="uk-UA"/>
          </w:rPr>
          <w:t>Академія інсульту: сучасні методи боротьби з інсультом в Україні та світі</w:t>
        </w:r>
      </w:hyperlink>
      <w:r w:rsidRPr="0026450D">
        <w:rPr>
          <w:rFonts w:ascii="Times New Roman" w:hAnsi="Times New Roman"/>
          <w:bCs/>
          <w:sz w:val="28"/>
          <w:szCs w:val="28"/>
          <w:lang w:val="uk-UA"/>
        </w:rPr>
        <w:t xml:space="preserve"> [Електрона публікація]//Укр. мед. часопис. 2019. </w:t>
      </w:r>
      <w:hyperlink r:id="rId58" w:tooltip="Оглавление номера" w:history="1">
        <w:r w:rsidRPr="0026450D">
          <w:rPr>
            <w:rFonts w:ascii="Times New Roman" w:hAnsi="Times New Roman"/>
            <w:bCs/>
            <w:sz w:val="28"/>
            <w:szCs w:val="28"/>
            <w:lang w:val="uk-UA"/>
          </w:rPr>
          <w:t xml:space="preserve">6 (1) (134). </w:t>
        </w:r>
        <w:r w:rsidRPr="0026450D">
          <w:rPr>
            <w:rFonts w:ascii="Times New Roman" w:hAnsi="Times New Roman"/>
            <w:bCs/>
            <w:sz w:val="28"/>
            <w:szCs w:val="28"/>
            <w:lang w:val="en-US"/>
          </w:rPr>
          <w:t xml:space="preserve">URL: </w:t>
        </w:r>
      </w:hyperlink>
    </w:p>
    <w:p w:rsidR="001F0A71" w:rsidRPr="0026450D" w:rsidRDefault="00F9347E" w:rsidP="00E1086D">
      <w:pPr>
        <w:shd w:val="clear" w:color="auto" w:fill="FFFFFF"/>
        <w:tabs>
          <w:tab w:val="left" w:pos="-1080"/>
          <w:tab w:val="left" w:pos="851"/>
          <w:tab w:val="left" w:pos="993"/>
        </w:tabs>
        <w:spacing w:after="0" w:line="360" w:lineRule="auto"/>
        <w:ind w:firstLine="284"/>
        <w:jc w:val="both"/>
        <w:rPr>
          <w:rFonts w:ascii="Times New Roman" w:hAnsi="Times New Roman"/>
          <w:bCs/>
          <w:sz w:val="28"/>
          <w:szCs w:val="28"/>
          <w:lang w:val="uk-UA"/>
        </w:rPr>
      </w:pPr>
      <w:hyperlink r:id="rId59" w:history="1">
        <w:r w:rsidR="001F0A71" w:rsidRPr="0026450D">
          <w:rPr>
            <w:rFonts w:ascii="Times New Roman" w:hAnsi="Times New Roman"/>
            <w:bCs/>
            <w:sz w:val="28"/>
            <w:szCs w:val="28"/>
            <w:lang w:val="uk-UA"/>
          </w:rPr>
          <w:t>https://www.umj.com.ua/wp/wp-content/uploads/2019/11/AkadInsult_new.pdf?upload=</w:t>
        </w:r>
      </w:hyperlink>
      <w:r w:rsidR="001F0A71" w:rsidRPr="0026450D">
        <w:rPr>
          <w:rFonts w:ascii="Times New Roman" w:hAnsi="Times New Roman"/>
          <w:bCs/>
          <w:sz w:val="28"/>
          <w:szCs w:val="28"/>
          <w:lang w:val="uk-UA"/>
        </w:rPr>
        <w:t xml:space="preserve"> (дата звернення: 04.09.2020).</w:t>
      </w:r>
    </w:p>
    <w:p w:rsidR="001F0A71" w:rsidRPr="0026450D"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bCs/>
          <w:sz w:val="28"/>
          <w:szCs w:val="28"/>
          <w:lang w:val="uk-UA"/>
        </w:rPr>
      </w:pPr>
      <w:r w:rsidRPr="0026450D">
        <w:rPr>
          <w:rFonts w:ascii="Times New Roman" w:hAnsi="Times New Roman"/>
          <w:bCs/>
          <w:sz w:val="28"/>
          <w:szCs w:val="28"/>
          <w:lang w:val="uk-UA"/>
        </w:rPr>
        <w:t xml:space="preserve">Boling B., Groves T. R. ManagementofSubarachnoidHemorrhage. CriticalCareNurse. 2019. </w:t>
      </w:r>
      <w:r w:rsidRPr="0026450D">
        <w:rPr>
          <w:rFonts w:ascii="Times New Roman" w:hAnsi="Times New Roman"/>
          <w:sz w:val="28"/>
          <w:szCs w:val="28"/>
          <w:lang w:val="en-US"/>
        </w:rPr>
        <w:t xml:space="preserve">Vol. </w:t>
      </w:r>
      <w:r w:rsidRPr="0026450D">
        <w:rPr>
          <w:rFonts w:ascii="Times New Roman" w:hAnsi="Times New Roman"/>
          <w:bCs/>
          <w:sz w:val="28"/>
          <w:szCs w:val="28"/>
          <w:lang w:val="uk-UA"/>
        </w:rPr>
        <w:t>39 (5). Р. 58–67.</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bCs/>
          <w:sz w:val="28"/>
          <w:szCs w:val="28"/>
          <w:lang w:val="uk-UA"/>
        </w:rPr>
      </w:pPr>
      <w:r w:rsidRPr="0026450D">
        <w:rPr>
          <w:rFonts w:ascii="Times New Roman" w:hAnsi="Times New Roman"/>
          <w:bCs/>
          <w:sz w:val="28"/>
          <w:szCs w:val="28"/>
          <w:lang w:val="uk-UA"/>
        </w:rPr>
        <w:t xml:space="preserve">Бонь Е. И., Максимович Н .Е. Роль эксайтотоксичности в патогенезе </w:t>
      </w:r>
      <w:r w:rsidRPr="00BC73BB">
        <w:rPr>
          <w:rFonts w:ascii="Times New Roman" w:hAnsi="Times New Roman"/>
          <w:bCs/>
          <w:sz w:val="28"/>
          <w:szCs w:val="28"/>
          <w:lang w:val="uk-UA"/>
        </w:rPr>
        <w:t>повреждений головного мозга при ишемии. Вест. Смоленскойгос. мед. акад. 2019. Т. 18, № 1. С. 67–72.</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bCs/>
          <w:sz w:val="28"/>
          <w:szCs w:val="28"/>
          <w:lang w:val="uk-UA"/>
        </w:rPr>
      </w:pPr>
      <w:r w:rsidRPr="00BC73BB">
        <w:rPr>
          <w:rFonts w:ascii="Times New Roman" w:hAnsi="Times New Roman"/>
          <w:bCs/>
          <w:sz w:val="28"/>
          <w:szCs w:val="28"/>
          <w:lang w:val="uk-UA"/>
        </w:rPr>
        <w:t>Ходаківський О. А. Порівняльна оцінка впливу похідних адамантанусполук ЮК-1 та ЮК-4 на активність NMDA-рецепторів. Клініч. фармація. 2011. Т. 15, № 4. С. 60–63.</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bCs/>
          <w:sz w:val="28"/>
          <w:szCs w:val="28"/>
          <w:lang w:val="uk-UA"/>
        </w:rPr>
      </w:pPr>
      <w:r w:rsidRPr="00BC73BB">
        <w:rPr>
          <w:rFonts w:ascii="Times New Roman" w:hAnsi="Times New Roman"/>
          <w:bCs/>
          <w:sz w:val="28"/>
          <w:szCs w:val="28"/>
          <w:lang w:val="uk-UA"/>
        </w:rPr>
        <w:t>Антагонистглутаматных NMDA-рецепторов (амантадина сульфат) в интенсивнойтерапиитяжелой черепно-мозговойтравмы / Черний В. И. и др.Мед. неотложныхсостояний. 2015. № 5 (68). С. 81–91.</w:t>
      </w:r>
    </w:p>
    <w:p w:rsidR="001F0A71" w:rsidRPr="00086D89"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en-US"/>
        </w:rPr>
      </w:pPr>
      <w:r w:rsidRPr="00BC73BB">
        <w:rPr>
          <w:rStyle w:val="docsum-authors"/>
          <w:sz w:val="28"/>
          <w:szCs w:val="28"/>
          <w:lang w:val="en-US"/>
        </w:rPr>
        <w:t>Wu Q</w:t>
      </w:r>
      <w:r w:rsidRPr="00BC73BB">
        <w:rPr>
          <w:rStyle w:val="docsum-authors"/>
          <w:sz w:val="28"/>
          <w:szCs w:val="28"/>
          <w:lang w:val="uk-UA"/>
        </w:rPr>
        <w:t xml:space="preserve">. </w:t>
      </w:r>
      <w:r w:rsidRPr="00BC73BB">
        <w:rPr>
          <w:rStyle w:val="docsum-authors"/>
          <w:sz w:val="28"/>
          <w:szCs w:val="28"/>
          <w:lang w:val="en-US"/>
        </w:rPr>
        <w:t>J</w:t>
      </w:r>
      <w:r w:rsidRPr="00BC73BB">
        <w:rPr>
          <w:rStyle w:val="docsum-authors"/>
          <w:sz w:val="28"/>
          <w:szCs w:val="28"/>
          <w:lang w:val="uk-UA"/>
        </w:rPr>
        <w:t>.,</w:t>
      </w:r>
      <w:r w:rsidRPr="00BC73BB">
        <w:rPr>
          <w:rStyle w:val="docsum-authors"/>
          <w:sz w:val="28"/>
          <w:szCs w:val="28"/>
          <w:lang w:val="en-US"/>
        </w:rPr>
        <w:t>Tymianski</w:t>
      </w:r>
      <w:r w:rsidRPr="00BC73BB">
        <w:rPr>
          <w:rStyle w:val="docsum-authors"/>
          <w:sz w:val="28"/>
          <w:szCs w:val="28"/>
          <w:lang w:val="uk-UA"/>
        </w:rPr>
        <w:t xml:space="preserve">М. </w:t>
      </w:r>
      <w:hyperlink r:id="rId60" w:history="1">
        <w:r w:rsidRPr="00BC73BB">
          <w:rPr>
            <w:rStyle w:val="ac"/>
            <w:rFonts w:ascii="Times New Roman" w:eastAsiaTheme="majorEastAsia" w:hAnsi="Times New Roman"/>
            <w:color w:val="auto"/>
            <w:sz w:val="28"/>
            <w:szCs w:val="28"/>
            <w:u w:val="none"/>
            <w:shd w:val="clear" w:color="auto" w:fill="FFFFFF"/>
            <w:lang w:val="en-US"/>
          </w:rPr>
          <w:t>Targeting</w:t>
        </w:r>
        <w:r w:rsidRPr="00BC73BB">
          <w:rPr>
            <w:rStyle w:val="ac"/>
            <w:rFonts w:ascii="Times New Roman" w:eastAsiaTheme="majorEastAsia" w:hAnsi="Times New Roman"/>
            <w:bCs/>
            <w:color w:val="auto"/>
            <w:sz w:val="28"/>
            <w:szCs w:val="28"/>
            <w:u w:val="none"/>
            <w:shd w:val="clear" w:color="auto" w:fill="FFFFFF"/>
            <w:lang w:val="en-US"/>
          </w:rPr>
          <w:t>NMDA</w:t>
        </w:r>
        <w:r w:rsidRPr="00BC73BB">
          <w:rPr>
            <w:rStyle w:val="ac"/>
            <w:rFonts w:ascii="Times New Roman" w:eastAsiaTheme="majorEastAsia" w:hAnsi="Times New Roman"/>
            <w:color w:val="auto"/>
            <w:sz w:val="28"/>
            <w:szCs w:val="28"/>
            <w:u w:val="none"/>
            <w:shd w:val="clear" w:color="auto" w:fill="FFFFFF"/>
            <w:lang w:val="en-US"/>
          </w:rPr>
          <w:t>receptors in stroke: new hope in </w:t>
        </w:r>
        <w:r w:rsidRPr="00BC73BB">
          <w:rPr>
            <w:rStyle w:val="ac"/>
            <w:rFonts w:ascii="Times New Roman" w:eastAsiaTheme="majorEastAsia" w:hAnsi="Times New Roman"/>
            <w:bCs/>
            <w:color w:val="auto"/>
            <w:sz w:val="28"/>
            <w:szCs w:val="28"/>
            <w:u w:val="none"/>
            <w:shd w:val="clear" w:color="auto" w:fill="FFFFFF"/>
            <w:lang w:val="en-US"/>
          </w:rPr>
          <w:t>neuroprotection</w:t>
        </w:r>
        <w:r w:rsidRPr="00BC73BB">
          <w:rPr>
            <w:rFonts w:ascii="Times New Roman" w:hAnsi="Times New Roman"/>
            <w:bCs/>
            <w:sz w:val="28"/>
            <w:szCs w:val="28"/>
            <w:lang w:val="uk-UA"/>
          </w:rPr>
          <w:t>[Електрона публікація]</w:t>
        </w:r>
      </w:hyperlink>
      <w:r w:rsidRPr="00BC73BB">
        <w:rPr>
          <w:rStyle w:val="ac"/>
          <w:rFonts w:ascii="Times New Roman" w:eastAsiaTheme="majorEastAsia" w:hAnsi="Times New Roman"/>
          <w:color w:val="auto"/>
          <w:sz w:val="28"/>
          <w:szCs w:val="28"/>
          <w:u w:val="none"/>
          <w:shd w:val="clear" w:color="auto" w:fill="FFFFFF"/>
          <w:lang w:val="uk-UA"/>
        </w:rPr>
        <w:t>//</w:t>
      </w:r>
      <w:r w:rsidRPr="00BC73BB">
        <w:rPr>
          <w:rStyle w:val="docsum-journal-citation"/>
          <w:rFonts w:ascii="Times New Roman" w:hAnsi="Times New Roman"/>
          <w:sz w:val="28"/>
          <w:szCs w:val="28"/>
          <w:lang w:val="en-US"/>
        </w:rPr>
        <w:t>Mol</w:t>
      </w:r>
      <w:r w:rsidRPr="00BC73BB">
        <w:rPr>
          <w:rStyle w:val="docsum-journal-citation"/>
          <w:rFonts w:ascii="Times New Roman" w:hAnsi="Times New Roman"/>
          <w:sz w:val="28"/>
          <w:szCs w:val="28"/>
          <w:lang w:val="uk-UA"/>
        </w:rPr>
        <w:t>.</w:t>
      </w:r>
      <w:r w:rsidRPr="00BC73BB">
        <w:rPr>
          <w:rStyle w:val="docsum-journal-citation"/>
          <w:rFonts w:ascii="Times New Roman" w:hAnsi="Times New Roman"/>
          <w:sz w:val="28"/>
          <w:szCs w:val="28"/>
          <w:lang w:val="en-US"/>
        </w:rPr>
        <w:t xml:space="preserve"> Brain. 2018</w:t>
      </w:r>
      <w:r w:rsidRPr="00BC73BB">
        <w:rPr>
          <w:rStyle w:val="docsum-journal-citation"/>
          <w:rFonts w:ascii="Times New Roman" w:hAnsi="Times New Roman"/>
          <w:sz w:val="28"/>
          <w:szCs w:val="28"/>
          <w:lang w:val="uk-UA"/>
        </w:rPr>
        <w:t>.</w:t>
      </w:r>
      <w:r w:rsidRPr="00BC73BB">
        <w:rPr>
          <w:rFonts w:ascii="Times New Roman" w:hAnsi="Times New Roman"/>
          <w:sz w:val="28"/>
          <w:szCs w:val="28"/>
          <w:lang w:val="en-US"/>
        </w:rPr>
        <w:t>Vol</w:t>
      </w:r>
      <w:r w:rsidRPr="00086D89">
        <w:rPr>
          <w:rFonts w:ascii="Times New Roman" w:hAnsi="Times New Roman"/>
          <w:sz w:val="28"/>
          <w:szCs w:val="28"/>
          <w:lang w:val="en-US"/>
        </w:rPr>
        <w:t xml:space="preserve">. </w:t>
      </w:r>
      <w:r w:rsidRPr="00086D89">
        <w:rPr>
          <w:rStyle w:val="docsum-journal-citation"/>
          <w:rFonts w:ascii="Times New Roman" w:hAnsi="Times New Roman"/>
          <w:sz w:val="28"/>
          <w:szCs w:val="28"/>
          <w:lang w:val="en-US"/>
        </w:rPr>
        <w:t xml:space="preserve">15. </w:t>
      </w:r>
      <w:r w:rsidRPr="00BC73BB">
        <w:rPr>
          <w:rStyle w:val="docsum-journal-citation"/>
          <w:rFonts w:ascii="Times New Roman" w:hAnsi="Times New Roman"/>
          <w:sz w:val="28"/>
          <w:szCs w:val="28"/>
          <w:lang w:val="en-US"/>
        </w:rPr>
        <w:t>URL</w:t>
      </w:r>
      <w:r w:rsidRPr="00086D89">
        <w:rPr>
          <w:rStyle w:val="docsum-journal-citation"/>
          <w:rFonts w:ascii="Times New Roman" w:hAnsi="Times New Roman"/>
          <w:sz w:val="28"/>
          <w:szCs w:val="28"/>
          <w:lang w:val="en-US"/>
        </w:rPr>
        <w:t xml:space="preserve">: </w:t>
      </w:r>
      <w:hyperlink r:id="rId61" w:history="1">
        <w:r w:rsidRPr="00BC73BB">
          <w:rPr>
            <w:rStyle w:val="ac"/>
            <w:rFonts w:ascii="Times New Roman" w:eastAsiaTheme="majorEastAsia" w:hAnsi="Times New Roman"/>
            <w:color w:val="auto"/>
            <w:sz w:val="28"/>
            <w:szCs w:val="28"/>
            <w:u w:val="none"/>
            <w:shd w:val="clear" w:color="auto" w:fill="FFFFFF"/>
            <w:lang w:val="en-US"/>
          </w:rPr>
          <w:t>https</w:t>
        </w:r>
        <w:r w:rsidRPr="00086D89">
          <w:rPr>
            <w:rStyle w:val="ac"/>
            <w:rFonts w:ascii="Times New Roman" w:eastAsiaTheme="majorEastAsia" w:hAnsi="Times New Roman"/>
            <w:color w:val="auto"/>
            <w:sz w:val="28"/>
            <w:szCs w:val="28"/>
            <w:u w:val="none"/>
            <w:shd w:val="clear" w:color="auto" w:fill="FFFFFF"/>
            <w:lang w:val="en-US"/>
          </w:rPr>
          <w:t>://</w:t>
        </w:r>
        <w:r w:rsidRPr="00BC73BB">
          <w:rPr>
            <w:rStyle w:val="ac"/>
            <w:rFonts w:ascii="Times New Roman" w:eastAsiaTheme="majorEastAsia" w:hAnsi="Times New Roman"/>
            <w:color w:val="auto"/>
            <w:sz w:val="28"/>
            <w:szCs w:val="28"/>
            <w:u w:val="none"/>
            <w:shd w:val="clear" w:color="auto" w:fill="FFFFFF"/>
            <w:lang w:val="en-US"/>
          </w:rPr>
          <w:t>molecularbrain</w:t>
        </w:r>
        <w:r w:rsidRPr="00086D89">
          <w:rPr>
            <w:rStyle w:val="ac"/>
            <w:rFonts w:ascii="Times New Roman" w:eastAsiaTheme="majorEastAsia" w:hAnsi="Times New Roman"/>
            <w:color w:val="auto"/>
            <w:sz w:val="28"/>
            <w:szCs w:val="28"/>
            <w:u w:val="none"/>
            <w:shd w:val="clear" w:color="auto" w:fill="FFFFFF"/>
            <w:lang w:val="en-US"/>
          </w:rPr>
          <w:t>.</w:t>
        </w:r>
        <w:r w:rsidRPr="00BC73BB">
          <w:rPr>
            <w:rStyle w:val="ac"/>
            <w:rFonts w:ascii="Times New Roman" w:eastAsiaTheme="majorEastAsia" w:hAnsi="Times New Roman"/>
            <w:color w:val="auto"/>
            <w:sz w:val="28"/>
            <w:szCs w:val="28"/>
            <w:u w:val="none"/>
            <w:shd w:val="clear" w:color="auto" w:fill="FFFFFF"/>
            <w:lang w:val="en-US"/>
          </w:rPr>
          <w:t>biomedcentral</w:t>
        </w:r>
        <w:r w:rsidRPr="00086D89">
          <w:rPr>
            <w:rStyle w:val="ac"/>
            <w:rFonts w:ascii="Times New Roman" w:eastAsiaTheme="majorEastAsia" w:hAnsi="Times New Roman"/>
            <w:color w:val="auto"/>
            <w:sz w:val="28"/>
            <w:szCs w:val="28"/>
            <w:u w:val="none"/>
            <w:shd w:val="clear" w:color="auto" w:fill="FFFFFF"/>
            <w:lang w:val="en-US"/>
          </w:rPr>
          <w:t>.</w:t>
        </w:r>
        <w:r w:rsidRPr="00BC73BB">
          <w:rPr>
            <w:rStyle w:val="ac"/>
            <w:rFonts w:ascii="Times New Roman" w:eastAsiaTheme="majorEastAsia" w:hAnsi="Times New Roman"/>
            <w:color w:val="auto"/>
            <w:sz w:val="28"/>
            <w:szCs w:val="28"/>
            <w:u w:val="none"/>
            <w:shd w:val="clear" w:color="auto" w:fill="FFFFFF"/>
            <w:lang w:val="en-US"/>
          </w:rPr>
          <w:t>com</w:t>
        </w:r>
        <w:r w:rsidRPr="00086D89">
          <w:rPr>
            <w:rStyle w:val="ac"/>
            <w:rFonts w:ascii="Times New Roman" w:eastAsiaTheme="majorEastAsia" w:hAnsi="Times New Roman"/>
            <w:color w:val="auto"/>
            <w:sz w:val="28"/>
            <w:szCs w:val="28"/>
            <w:u w:val="none"/>
            <w:shd w:val="clear" w:color="auto" w:fill="FFFFFF"/>
            <w:lang w:val="en-US"/>
          </w:rPr>
          <w:t>/</w:t>
        </w:r>
        <w:r w:rsidRPr="00BC73BB">
          <w:rPr>
            <w:rStyle w:val="ac"/>
            <w:rFonts w:ascii="Times New Roman" w:eastAsiaTheme="majorEastAsia" w:hAnsi="Times New Roman"/>
            <w:color w:val="auto"/>
            <w:sz w:val="28"/>
            <w:szCs w:val="28"/>
            <w:u w:val="none"/>
            <w:shd w:val="clear" w:color="auto" w:fill="FFFFFF"/>
            <w:lang w:val="en-US"/>
          </w:rPr>
          <w:t>articles</w:t>
        </w:r>
        <w:r w:rsidRPr="00086D89">
          <w:rPr>
            <w:rStyle w:val="ac"/>
            <w:rFonts w:ascii="Times New Roman" w:eastAsiaTheme="majorEastAsia" w:hAnsi="Times New Roman"/>
            <w:color w:val="auto"/>
            <w:sz w:val="28"/>
            <w:szCs w:val="28"/>
            <w:u w:val="none"/>
            <w:shd w:val="clear" w:color="auto" w:fill="FFFFFF"/>
            <w:lang w:val="en-US"/>
          </w:rPr>
          <w:t>/10.1186/</w:t>
        </w:r>
        <w:r w:rsidRPr="00BC73BB">
          <w:rPr>
            <w:rStyle w:val="ac"/>
            <w:rFonts w:ascii="Times New Roman" w:eastAsiaTheme="majorEastAsia" w:hAnsi="Times New Roman"/>
            <w:color w:val="auto"/>
            <w:sz w:val="28"/>
            <w:szCs w:val="28"/>
            <w:u w:val="none"/>
            <w:shd w:val="clear" w:color="auto" w:fill="FFFFFF"/>
            <w:lang w:val="en-US"/>
          </w:rPr>
          <w:t>s</w:t>
        </w:r>
        <w:r w:rsidRPr="00086D89">
          <w:rPr>
            <w:rStyle w:val="ac"/>
            <w:rFonts w:ascii="Times New Roman" w:eastAsiaTheme="majorEastAsia" w:hAnsi="Times New Roman"/>
            <w:color w:val="auto"/>
            <w:sz w:val="28"/>
            <w:szCs w:val="28"/>
            <w:u w:val="none"/>
            <w:shd w:val="clear" w:color="auto" w:fill="FFFFFF"/>
            <w:lang w:val="en-US"/>
          </w:rPr>
          <w:t>13041-018-0357-8</w:t>
        </w:r>
      </w:hyperlink>
      <w:r w:rsidRPr="00BC73BB">
        <w:rPr>
          <w:rFonts w:ascii="Times New Roman" w:hAnsi="Times New Roman"/>
          <w:bCs/>
          <w:sz w:val="28"/>
          <w:szCs w:val="28"/>
          <w:lang w:val="uk-UA"/>
        </w:rPr>
        <w:t>(дата звернення: 04.09.2020).</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bCs/>
          <w:sz w:val="28"/>
          <w:szCs w:val="28"/>
          <w:lang w:val="uk-UA"/>
        </w:rPr>
      </w:pPr>
      <w:r w:rsidRPr="00BC73BB">
        <w:rPr>
          <w:rFonts w:ascii="Times New Roman" w:hAnsi="Times New Roman"/>
          <w:bCs/>
          <w:sz w:val="28"/>
          <w:szCs w:val="28"/>
          <w:lang w:val="uk-UA"/>
        </w:rPr>
        <w:t xml:space="preserve">Abdel-Hamid A. A., FirganyAel-D., Ali E. M. Effectofmemantine: A NMDA recep-torblocker, onethambutol-inducedretinalinjury. Ann. Anat. 2015. </w:t>
      </w:r>
      <w:r w:rsidRPr="00BC73BB">
        <w:rPr>
          <w:rFonts w:ascii="Times New Roman" w:hAnsi="Times New Roman"/>
          <w:sz w:val="28"/>
          <w:szCs w:val="28"/>
          <w:lang w:val="en-US"/>
        </w:rPr>
        <w:t xml:space="preserve">Vol. </w:t>
      </w:r>
      <w:r w:rsidRPr="00BC73BB">
        <w:rPr>
          <w:rFonts w:ascii="Times New Roman" w:hAnsi="Times New Roman"/>
          <w:bCs/>
          <w:sz w:val="28"/>
          <w:szCs w:val="28"/>
          <w:lang w:val="uk-UA"/>
        </w:rPr>
        <w:t>204. Р. 86–92.</w:t>
      </w:r>
    </w:p>
    <w:p w:rsidR="001F0A71" w:rsidRPr="00BC73BB" w:rsidRDefault="001F0A71" w:rsidP="00E1086D">
      <w:pPr>
        <w:pStyle w:val="a5"/>
        <w:numPr>
          <w:ilvl w:val="0"/>
          <w:numId w:val="34"/>
        </w:numPr>
        <w:tabs>
          <w:tab w:val="left" w:pos="851"/>
          <w:tab w:val="left" w:pos="993"/>
        </w:tabs>
        <w:autoSpaceDE w:val="0"/>
        <w:autoSpaceDN w:val="0"/>
        <w:adjustRightInd w:val="0"/>
        <w:spacing w:after="0" w:line="360" w:lineRule="auto"/>
        <w:ind w:left="0" w:firstLine="284"/>
        <w:jc w:val="both"/>
        <w:rPr>
          <w:rFonts w:ascii="Times New Roman" w:eastAsia="TimesNewRoman" w:hAnsi="Times New Roman"/>
          <w:sz w:val="28"/>
          <w:szCs w:val="28"/>
          <w:lang w:val="uk-UA" w:eastAsia="en-US"/>
        </w:rPr>
      </w:pPr>
      <w:r w:rsidRPr="00BC73BB">
        <w:rPr>
          <w:rFonts w:ascii="Times New Roman" w:eastAsia="TimesNewRoman" w:hAnsi="Times New Roman"/>
          <w:sz w:val="28"/>
          <w:szCs w:val="28"/>
          <w:lang w:val="uk-UA" w:eastAsia="en-US"/>
        </w:rPr>
        <w:lastRenderedPageBreak/>
        <w:t>Ходаківський О. А. Патогенетичне обґрунтування доцільності використання нових похідних адамантану при експериментальній терапії гострої ішемії головного мозку та міокарда (експериментальне дослідження) : автореф. дис. … д-ра мед. наук : 14.03.05. Одеса. 2014. 24 с.</w:t>
      </w:r>
    </w:p>
    <w:p w:rsidR="001F0A71" w:rsidRPr="00BC73BB" w:rsidRDefault="001F0A71" w:rsidP="00E1086D">
      <w:pPr>
        <w:pStyle w:val="a5"/>
        <w:numPr>
          <w:ilvl w:val="0"/>
          <w:numId w:val="34"/>
        </w:numPr>
        <w:tabs>
          <w:tab w:val="left" w:pos="851"/>
          <w:tab w:val="left" w:pos="993"/>
        </w:tabs>
        <w:autoSpaceDE w:val="0"/>
        <w:autoSpaceDN w:val="0"/>
        <w:adjustRightInd w:val="0"/>
        <w:spacing w:after="0" w:line="360" w:lineRule="auto"/>
        <w:ind w:left="0" w:firstLine="284"/>
        <w:jc w:val="both"/>
        <w:rPr>
          <w:rFonts w:ascii="Times New Roman" w:hAnsi="Times New Roman"/>
          <w:sz w:val="28"/>
          <w:szCs w:val="28"/>
        </w:rPr>
      </w:pPr>
      <w:r w:rsidRPr="00BC73BB">
        <w:rPr>
          <w:rFonts w:ascii="Times New Roman" w:hAnsi="Times New Roman"/>
          <w:sz w:val="28"/>
          <w:szCs w:val="28"/>
        </w:rPr>
        <w:t>Ходаковский А. А., Павлов С. В., Бухтиярова Н. В. Изучение апоптозмодулирующих свойств адемола в условиях модельного нарушения мозгового кровообращения по его влиянию на экспрессию генов раннего реагирования. Науч</w:t>
      </w:r>
      <w:r w:rsidRPr="00BC73BB">
        <w:rPr>
          <w:rFonts w:ascii="Times New Roman" w:hAnsi="Times New Roman"/>
          <w:sz w:val="28"/>
          <w:szCs w:val="28"/>
          <w:lang w:val="uk-UA"/>
        </w:rPr>
        <w:t>.в</w:t>
      </w:r>
      <w:r w:rsidRPr="00BC73BB">
        <w:rPr>
          <w:rFonts w:ascii="Times New Roman" w:hAnsi="Times New Roman"/>
          <w:sz w:val="28"/>
          <w:szCs w:val="28"/>
        </w:rPr>
        <w:t>едом</w:t>
      </w:r>
      <w:r w:rsidRPr="00BC73BB">
        <w:rPr>
          <w:rFonts w:ascii="Times New Roman" w:hAnsi="Times New Roman"/>
          <w:sz w:val="28"/>
          <w:szCs w:val="28"/>
          <w:lang w:val="uk-UA"/>
        </w:rPr>
        <w:t>.</w:t>
      </w:r>
      <w:r w:rsidRPr="00BC73BB">
        <w:rPr>
          <w:rFonts w:ascii="Times New Roman" w:hAnsi="Times New Roman"/>
          <w:sz w:val="28"/>
          <w:szCs w:val="28"/>
        </w:rPr>
        <w:t>БелГУ. 2013. № 11(154)</w:t>
      </w:r>
      <w:r w:rsidRPr="00BC73BB">
        <w:rPr>
          <w:rFonts w:ascii="Times New Roman" w:hAnsi="Times New Roman"/>
          <w:sz w:val="28"/>
          <w:szCs w:val="28"/>
          <w:lang w:val="uk-UA"/>
        </w:rPr>
        <w:t>.</w:t>
      </w:r>
      <w:r w:rsidRPr="00BC73BB">
        <w:rPr>
          <w:rFonts w:ascii="Times New Roman" w:hAnsi="Times New Roman"/>
          <w:sz w:val="28"/>
          <w:szCs w:val="28"/>
        </w:rPr>
        <w:t>Вып. 22. С. 155</w:t>
      </w:r>
      <w:r w:rsidRPr="00BC73BB">
        <w:rPr>
          <w:rFonts w:ascii="Times New Roman" w:hAnsi="Times New Roman"/>
          <w:bCs/>
          <w:sz w:val="28"/>
          <w:szCs w:val="28"/>
          <w:lang w:val="uk-UA"/>
        </w:rPr>
        <w:t>–</w:t>
      </w:r>
      <w:r w:rsidRPr="00BC73BB">
        <w:rPr>
          <w:rFonts w:ascii="Times New Roman" w:hAnsi="Times New Roman"/>
          <w:sz w:val="28"/>
          <w:szCs w:val="28"/>
        </w:rPr>
        <w:t xml:space="preserve">159. </w:t>
      </w:r>
    </w:p>
    <w:p w:rsidR="001F0A71" w:rsidRPr="00BC73BB" w:rsidRDefault="001F0A71" w:rsidP="00E1086D">
      <w:pPr>
        <w:pStyle w:val="a5"/>
        <w:numPr>
          <w:ilvl w:val="0"/>
          <w:numId w:val="34"/>
        </w:numPr>
        <w:tabs>
          <w:tab w:val="left" w:pos="851"/>
          <w:tab w:val="left" w:pos="993"/>
        </w:tabs>
        <w:autoSpaceDE w:val="0"/>
        <w:autoSpaceDN w:val="0"/>
        <w:adjustRightInd w:val="0"/>
        <w:spacing w:after="0" w:line="360" w:lineRule="auto"/>
        <w:ind w:left="0" w:firstLine="284"/>
        <w:jc w:val="both"/>
        <w:rPr>
          <w:rFonts w:ascii="Times New Roman" w:hAnsi="Times New Roman"/>
          <w:sz w:val="28"/>
          <w:szCs w:val="28"/>
        </w:rPr>
      </w:pPr>
      <w:r w:rsidRPr="00BC73BB">
        <w:rPr>
          <w:rFonts w:ascii="Times New Roman" w:hAnsi="Times New Roman"/>
          <w:sz w:val="28"/>
          <w:szCs w:val="28"/>
          <w:lang w:val="uk-UA"/>
        </w:rPr>
        <w:t>Ходаківський О. А. Характеристика протиішемічних та мнемотропних властивостей адемолу при модельному гострому порушенні мозкового кровообігу. Фізіолог. журн. 2013. Т. 59, № 5. С. 71–77.</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Ходаківський О. А. Оцінка захисної дії на міокард нових похідних адамантану в умовах експериментального кардіогенного шоку. Вісн. морф. 2010. Т. 16, № 3. С. 564–568.</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bookmarkStart w:id="36" w:name="_Hlk50111216"/>
      <w:r w:rsidRPr="00BC73BB">
        <w:rPr>
          <w:rFonts w:ascii="Times New Roman" w:hAnsi="Times New Roman"/>
          <w:sz w:val="28"/>
          <w:szCs w:val="28"/>
          <w:lang w:val="uk-UA"/>
        </w:rPr>
        <w:t xml:space="preserve">Засіб для лікування слабкості пологової діяльності (Адемол): пат. 53558 А Україна: МКІ 7 А61К9/08, А61К31/535; заявл. </w:t>
      </w:r>
      <w:r w:rsidRPr="00BC73BB">
        <w:rPr>
          <w:rFonts w:ascii="Times New Roman" w:hAnsi="Times New Roman"/>
          <w:sz w:val="28"/>
          <w:szCs w:val="28"/>
        </w:rPr>
        <w:t>18.07.2002; опубл. 15.01. 2003, Бюл. № 1.</w:t>
      </w:r>
      <w:r w:rsidRPr="00BC73BB">
        <w:rPr>
          <w:rFonts w:ascii="Times New Roman" w:hAnsi="Times New Roman"/>
          <w:sz w:val="28"/>
          <w:szCs w:val="28"/>
          <w:lang w:val="uk-UA"/>
        </w:rPr>
        <w:t xml:space="preserve"> 4 с.</w:t>
      </w:r>
      <w:bookmarkEnd w:id="36"/>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Повх В. Л. Вплив модуляторів NMDA-рецепторів на біохімічні зміни в сітківці при ішемічному та травматичному ураженні зорового аналізатора. Мед. та клін. хімія. 2018. № 20 (1). С. 136–141.</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bCs/>
          <w:sz w:val="28"/>
          <w:szCs w:val="28"/>
          <w:lang w:val="uk-UA"/>
        </w:rPr>
      </w:pPr>
      <w:r w:rsidRPr="00BC73BB">
        <w:rPr>
          <w:rFonts w:ascii="Times New Roman" w:hAnsi="Times New Roman"/>
          <w:bCs/>
          <w:sz w:val="28"/>
          <w:szCs w:val="28"/>
          <w:lang w:val="uk-UA"/>
        </w:rPr>
        <w:t xml:space="preserve">Адемол: новий підхід до церебропротекції / Г. І. Степанюк </w:t>
      </w:r>
      <w:r w:rsidRPr="00BC73BB">
        <w:rPr>
          <w:rFonts w:ascii="Times New Roman" w:hAnsi="Times New Roman"/>
          <w:sz w:val="28"/>
          <w:szCs w:val="28"/>
          <w:lang w:val="uk-UA"/>
        </w:rPr>
        <w:t xml:space="preserve">та ін. </w:t>
      </w:r>
      <w:r w:rsidRPr="00BC73BB">
        <w:rPr>
          <w:rFonts w:ascii="Times New Roman" w:hAnsi="Times New Roman"/>
          <w:bCs/>
          <w:sz w:val="28"/>
          <w:szCs w:val="28"/>
          <w:lang w:val="uk-UA"/>
        </w:rPr>
        <w:t>Вінниця : Нілан-ЛТД. 2018. 219 с</w:t>
      </w:r>
      <w:r w:rsidRPr="00BC73BB">
        <w:rPr>
          <w:rFonts w:ascii="Times New Roman" w:hAnsi="Times New Roman"/>
          <w:bCs/>
          <w:sz w:val="28"/>
          <w:szCs w:val="28"/>
          <w:lang w:val="en-US"/>
        </w:rPr>
        <w:t>.</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Шведський В. В., Ходаківський О. А. Експериментальне порушення мозкового кровообігу на тлі алоксанового цукрового діабету: характеристика моделі. Буковин. мед. вісн. 2012. Т. 16, № 1 (61). С. 150–156.</w:t>
      </w:r>
    </w:p>
    <w:p w:rsidR="001F0A71" w:rsidRPr="00BC73BB" w:rsidRDefault="001F0A71" w:rsidP="00E1086D">
      <w:pPr>
        <w:pStyle w:val="a5"/>
        <w:numPr>
          <w:ilvl w:val="0"/>
          <w:numId w:val="34"/>
        </w:numPr>
        <w:shd w:val="clear" w:color="auto" w:fill="FFFFFF"/>
        <w:tabs>
          <w:tab w:val="left" w:pos="-1080"/>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Шведський В. В., Штриголь С. Ю., Ходаківський О. А. Сучасна церебропротекторна терапія гострих порушень мозкового кровообігу при цукровому діабеті та шляхи її оптимізації. Клін. фарм. 2011. Т.15, № 2. С. 7–12.</w:t>
      </w:r>
    </w:p>
    <w:p w:rsidR="001F0A71" w:rsidRPr="00BC73BB" w:rsidRDefault="001F0A71" w:rsidP="00E1086D">
      <w:pPr>
        <w:pStyle w:val="a5"/>
        <w:numPr>
          <w:ilvl w:val="0"/>
          <w:numId w:val="34"/>
        </w:numPr>
        <w:shd w:val="clear" w:color="auto" w:fill="FFFFFF"/>
        <w:tabs>
          <w:tab w:val="left" w:pos="-1080"/>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eastAsia="uk-UA"/>
        </w:rPr>
        <w:lastRenderedPageBreak/>
        <w:t xml:space="preserve">Особенностисостояниямикроциркуляции у пациентов с острымишемическиминсультом и хроническойишемией головного мезга / А. В. Анисимова и др. Журн. неврол. и психиатр. </w:t>
      </w:r>
      <w:r w:rsidRPr="00BC73BB">
        <w:rPr>
          <w:rFonts w:ascii="Times New Roman" w:hAnsi="Times New Roman"/>
          <w:sz w:val="28"/>
          <w:szCs w:val="28"/>
        </w:rPr>
        <w:t>им. С.С. Корсакова</w:t>
      </w:r>
      <w:r w:rsidRPr="00BC73BB">
        <w:rPr>
          <w:rFonts w:ascii="Times New Roman" w:hAnsi="Times New Roman"/>
          <w:sz w:val="28"/>
          <w:szCs w:val="28"/>
          <w:lang w:val="uk-UA"/>
        </w:rPr>
        <w:t>.</w:t>
      </w:r>
      <w:r w:rsidRPr="00BC73BB">
        <w:rPr>
          <w:rFonts w:ascii="Times New Roman" w:hAnsi="Times New Roman"/>
          <w:sz w:val="28"/>
          <w:szCs w:val="28"/>
          <w:lang w:val="uk-UA" w:eastAsia="uk-UA"/>
        </w:rPr>
        <w:t xml:space="preserve"> 2015. № 3. С. 27–32.</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eastAsia="uk-UA"/>
        </w:rPr>
      </w:pPr>
      <w:r w:rsidRPr="00BC73BB">
        <w:rPr>
          <w:rFonts w:ascii="Times New Roman" w:hAnsi="Times New Roman"/>
          <w:sz w:val="28"/>
          <w:szCs w:val="28"/>
          <w:lang w:val="uk-UA" w:eastAsia="uk-UA"/>
        </w:rPr>
        <w:t>Матвеева Н. А., Мартынов М. Ю., Фаворова O. O. Ишемическийинсульткаккомплексноеполигенноезаболевание / Б. В. Титов и др. Молекул. биолог. 2015. № 2. С. 220–224.</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eastAsia="uk-UA"/>
        </w:rPr>
      </w:pPr>
      <w:r w:rsidRPr="00BC73BB">
        <w:rPr>
          <w:rFonts w:ascii="Times New Roman" w:hAnsi="Times New Roman"/>
          <w:sz w:val="28"/>
          <w:szCs w:val="28"/>
        </w:rPr>
        <w:t>Максимова М. Ю.</w:t>
      </w:r>
      <w:r w:rsidRPr="00BC73BB">
        <w:rPr>
          <w:rFonts w:ascii="Times New Roman" w:hAnsi="Times New Roman"/>
          <w:sz w:val="28"/>
          <w:szCs w:val="28"/>
          <w:lang w:val="uk-UA"/>
        </w:rPr>
        <w:t>,</w:t>
      </w:r>
      <w:r w:rsidRPr="00BC73BB">
        <w:rPr>
          <w:rFonts w:ascii="Times New Roman" w:hAnsi="Times New Roman"/>
          <w:sz w:val="28"/>
          <w:szCs w:val="28"/>
        </w:rPr>
        <w:t>Комелкова Л. В., Охтова Ф.Р. Факторы межклеточного взаимодействия в остром периоде ишемического инсульта</w:t>
      </w:r>
      <w:r w:rsidRPr="00BC73BB">
        <w:rPr>
          <w:rFonts w:ascii="Times New Roman" w:hAnsi="Times New Roman"/>
          <w:sz w:val="28"/>
          <w:szCs w:val="28"/>
          <w:lang w:val="uk-UA"/>
        </w:rPr>
        <w:t>.</w:t>
      </w:r>
      <w:r w:rsidRPr="00BC73BB">
        <w:rPr>
          <w:rFonts w:ascii="Times New Roman" w:hAnsi="Times New Roman"/>
          <w:sz w:val="28"/>
          <w:szCs w:val="28"/>
        </w:rPr>
        <w:t xml:space="preserve"> Журн. неврол. и психиатр. им. С.С. Корсакова. 2014. №114 (2). Р. 15–20.</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eastAsia="uk-UA"/>
        </w:rPr>
        <w:t>Роль оксидаазота и эндотелина-1 в развитииишемических нарушений мозговогокровообращения / А. Ю. Рябченко и др. Неврол. вестн. журн. им. В. М. Бехтерева. 2014. № 1. С. 34–37.</w:t>
      </w:r>
    </w:p>
    <w:p w:rsidR="001F0A71" w:rsidRPr="00BC73BB" w:rsidRDefault="001F0A71" w:rsidP="00E1086D">
      <w:pPr>
        <w:pStyle w:val="a5"/>
        <w:numPr>
          <w:ilvl w:val="0"/>
          <w:numId w:val="34"/>
        </w:numPr>
        <w:shd w:val="clear" w:color="auto" w:fill="FFFFFF"/>
        <w:tabs>
          <w:tab w:val="left" w:pos="-1080"/>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sz w:val="28"/>
          <w:szCs w:val="28"/>
          <w:lang w:val="en-US"/>
        </w:rPr>
        <w:t>Seifert G., Schilling K., Steinhauser C. Astrocyte dysfunction in neurological disorders: a molecular perspective</w:t>
      </w:r>
      <w:r w:rsidRPr="00BC73BB">
        <w:rPr>
          <w:rFonts w:ascii="Times New Roman" w:hAnsi="Times New Roman"/>
          <w:sz w:val="28"/>
          <w:szCs w:val="28"/>
          <w:lang w:val="uk-UA"/>
        </w:rPr>
        <w:t>.</w:t>
      </w:r>
      <w:r w:rsidRPr="00BC73BB">
        <w:rPr>
          <w:rFonts w:ascii="Times New Roman" w:hAnsi="Times New Roman"/>
          <w:sz w:val="28"/>
          <w:szCs w:val="28"/>
          <w:lang w:val="en-US"/>
        </w:rPr>
        <w:t xml:space="preserve"> Nat</w:t>
      </w:r>
      <w:r w:rsidRPr="00BC73BB">
        <w:rPr>
          <w:rFonts w:ascii="Times New Roman" w:hAnsi="Times New Roman"/>
          <w:sz w:val="28"/>
          <w:szCs w:val="28"/>
          <w:lang w:val="uk-UA"/>
        </w:rPr>
        <w:t>.</w:t>
      </w:r>
      <w:r w:rsidRPr="00BC73BB">
        <w:rPr>
          <w:rFonts w:ascii="Times New Roman" w:hAnsi="Times New Roman"/>
          <w:sz w:val="28"/>
          <w:szCs w:val="28"/>
          <w:lang w:val="en-US"/>
        </w:rPr>
        <w:t xml:space="preserve"> Rev</w:t>
      </w:r>
      <w:r w:rsidRPr="00BC73BB">
        <w:rPr>
          <w:rFonts w:ascii="Times New Roman" w:hAnsi="Times New Roman"/>
          <w:sz w:val="28"/>
          <w:szCs w:val="28"/>
          <w:lang w:val="uk-UA"/>
        </w:rPr>
        <w:t>.</w:t>
      </w:r>
      <w:r w:rsidRPr="00BC73BB">
        <w:rPr>
          <w:rFonts w:ascii="Times New Roman" w:hAnsi="Times New Roman"/>
          <w:sz w:val="28"/>
          <w:szCs w:val="28"/>
          <w:lang w:val="en-US"/>
        </w:rPr>
        <w:t xml:space="preserve">Neurosci. </w:t>
      </w:r>
      <w:r w:rsidRPr="00BC73BB">
        <w:rPr>
          <w:rFonts w:ascii="Times New Roman" w:hAnsi="Times New Roman"/>
          <w:sz w:val="28"/>
          <w:szCs w:val="28"/>
        </w:rPr>
        <w:t xml:space="preserve">2006. </w:t>
      </w:r>
      <w:r w:rsidRPr="00BC73BB">
        <w:rPr>
          <w:rFonts w:ascii="Times New Roman" w:hAnsi="Times New Roman"/>
          <w:sz w:val="28"/>
          <w:szCs w:val="28"/>
          <w:lang w:val="en-US"/>
        </w:rPr>
        <w:t xml:space="preserve">Vol. </w:t>
      </w:r>
      <w:r w:rsidRPr="00BC73BB">
        <w:rPr>
          <w:rFonts w:ascii="Times New Roman" w:hAnsi="Times New Roman"/>
          <w:sz w:val="28"/>
          <w:szCs w:val="28"/>
        </w:rPr>
        <w:t xml:space="preserve">7(3). </w:t>
      </w:r>
      <w:r w:rsidRPr="00BC73BB">
        <w:rPr>
          <w:rFonts w:ascii="Times New Roman" w:eastAsia="Arial Unicode MS" w:hAnsi="Times New Roman"/>
          <w:sz w:val="28"/>
          <w:szCs w:val="28"/>
        </w:rPr>
        <w:t xml:space="preserve">Р. </w:t>
      </w:r>
      <w:r w:rsidRPr="00BC73BB">
        <w:rPr>
          <w:rFonts w:ascii="Times New Roman" w:hAnsi="Times New Roman"/>
          <w:sz w:val="28"/>
          <w:szCs w:val="28"/>
        </w:rPr>
        <w:t>194–206</w:t>
      </w:r>
      <w:r w:rsidRPr="00BC73BB">
        <w:rPr>
          <w:rFonts w:ascii="Times New Roman" w:hAnsi="Times New Roman"/>
          <w:sz w:val="28"/>
          <w:szCs w:val="28"/>
          <w:lang w:val="uk-UA"/>
        </w:rPr>
        <w:t>.</w:t>
      </w:r>
    </w:p>
    <w:p w:rsidR="001F0A71" w:rsidRPr="00BC73BB" w:rsidRDefault="001F0A71" w:rsidP="00E1086D">
      <w:pPr>
        <w:pStyle w:val="a5"/>
        <w:numPr>
          <w:ilvl w:val="0"/>
          <w:numId w:val="34"/>
        </w:numPr>
        <w:shd w:val="clear" w:color="auto" w:fill="FFFFFF"/>
        <w:tabs>
          <w:tab w:val="left" w:pos="-1080"/>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rPr>
        <w:t xml:space="preserve">Малахов В. О., Личко В. С., Грецьких К. В. Гематоенцефалічнийбар’єр як частинанейроімунноендокринноїсистеми. </w:t>
      </w:r>
      <w:r w:rsidRPr="00BC73BB">
        <w:rPr>
          <w:rFonts w:ascii="Times New Roman" w:hAnsi="Times New Roman"/>
          <w:sz w:val="28"/>
          <w:szCs w:val="28"/>
          <w:lang w:val="en-US"/>
        </w:rPr>
        <w:t xml:space="preserve">Укр. неврол. журн. 2014. № 1. С. 25–30. </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Морфологічні особливості головного мозку щурів при гострій церебральній ішемії на фоні введення 0, 9% розчину NaCl / А. І. Семененко та ін. Вісн. морфол. 2015. Т. 21, № 1. С. 64–69.</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sz w:val="28"/>
          <w:szCs w:val="28"/>
          <w:lang w:val="uk-UA"/>
        </w:rPr>
        <w:t xml:space="preserve">Особливості морфології головного мозку щурів при гострій церебральній ішемії на тлі уведення волювену / А. І. Семененко та ін. Буковин. мед. вісн. </w:t>
      </w:r>
      <w:r w:rsidRPr="00BC73BB">
        <w:rPr>
          <w:rFonts w:ascii="Times New Roman" w:eastAsia="Calibri" w:hAnsi="Times New Roman"/>
          <w:sz w:val="28"/>
          <w:szCs w:val="28"/>
          <w:lang w:val="uk-UA"/>
        </w:rPr>
        <w:t>Т. 19, № 1. С. 137</w:t>
      </w:r>
      <w:r w:rsidRPr="00BC73BB">
        <w:rPr>
          <w:rFonts w:ascii="Times New Roman" w:hAnsi="Times New Roman"/>
          <w:sz w:val="28"/>
          <w:szCs w:val="28"/>
          <w:lang w:val="uk-UA"/>
        </w:rPr>
        <w:t>–</w:t>
      </w:r>
      <w:r w:rsidRPr="00BC73BB">
        <w:rPr>
          <w:rFonts w:ascii="Times New Roman" w:eastAsia="Calibri" w:hAnsi="Times New Roman"/>
          <w:sz w:val="28"/>
          <w:szCs w:val="28"/>
          <w:lang w:val="uk-UA"/>
        </w:rPr>
        <w:t>141.</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rPr>
        <w:t>Бонь Е. И., Максимович Н. Е. Морфологические представления о кровообращении головного мозга крысы. Вест</w:t>
      </w:r>
      <w:r w:rsidRPr="00BC73BB">
        <w:rPr>
          <w:rFonts w:ascii="Times New Roman" w:hAnsi="Times New Roman"/>
          <w:sz w:val="28"/>
          <w:szCs w:val="28"/>
          <w:lang w:val="uk-UA"/>
        </w:rPr>
        <w:t>.</w:t>
      </w:r>
      <w:r w:rsidRPr="00BC73BB">
        <w:rPr>
          <w:rFonts w:ascii="Times New Roman" w:hAnsi="Times New Roman"/>
          <w:sz w:val="28"/>
          <w:szCs w:val="28"/>
        </w:rPr>
        <w:t>Витеб</w:t>
      </w:r>
      <w:r w:rsidRPr="00BC73BB">
        <w:rPr>
          <w:rFonts w:ascii="Times New Roman" w:hAnsi="Times New Roman"/>
          <w:sz w:val="28"/>
          <w:szCs w:val="28"/>
          <w:lang w:val="uk-UA"/>
        </w:rPr>
        <w:t>.</w:t>
      </w:r>
      <w:r w:rsidRPr="00BC73BB">
        <w:rPr>
          <w:rFonts w:ascii="Times New Roman" w:hAnsi="Times New Roman"/>
          <w:sz w:val="28"/>
          <w:szCs w:val="28"/>
        </w:rPr>
        <w:t>гос</w:t>
      </w:r>
      <w:r w:rsidRPr="00BC73BB">
        <w:rPr>
          <w:rFonts w:ascii="Times New Roman" w:hAnsi="Times New Roman"/>
          <w:sz w:val="28"/>
          <w:szCs w:val="28"/>
          <w:lang w:val="uk-UA"/>
        </w:rPr>
        <w:t>.</w:t>
      </w:r>
      <w:r w:rsidRPr="00BC73BB">
        <w:rPr>
          <w:rFonts w:ascii="Times New Roman" w:hAnsi="Times New Roman"/>
          <w:sz w:val="28"/>
          <w:szCs w:val="28"/>
        </w:rPr>
        <w:t xml:space="preserve"> мед</w:t>
      </w:r>
      <w:r w:rsidRPr="00BC73BB">
        <w:rPr>
          <w:rFonts w:ascii="Times New Roman" w:hAnsi="Times New Roman"/>
          <w:sz w:val="28"/>
          <w:szCs w:val="28"/>
          <w:lang w:val="uk-UA"/>
        </w:rPr>
        <w:t>.</w:t>
      </w:r>
      <w:r w:rsidRPr="00BC73BB">
        <w:rPr>
          <w:rFonts w:ascii="Times New Roman" w:hAnsi="Times New Roman"/>
          <w:sz w:val="28"/>
          <w:szCs w:val="28"/>
        </w:rPr>
        <w:t>ун</w:t>
      </w:r>
      <w:r w:rsidRPr="00BC73BB">
        <w:rPr>
          <w:rFonts w:ascii="Times New Roman" w:hAnsi="Times New Roman"/>
          <w:sz w:val="28"/>
          <w:szCs w:val="28"/>
          <w:lang w:val="uk-UA"/>
        </w:rPr>
        <w:t>-</w:t>
      </w:r>
      <w:r w:rsidRPr="00BC73BB">
        <w:rPr>
          <w:rFonts w:ascii="Times New Roman" w:hAnsi="Times New Roman"/>
          <w:sz w:val="28"/>
          <w:szCs w:val="28"/>
        </w:rPr>
        <w:t>та. 2018. Т. 17, № 2. С. 30</w:t>
      </w:r>
      <w:r w:rsidRPr="00BC73BB">
        <w:rPr>
          <w:rFonts w:ascii="Times New Roman" w:hAnsi="Times New Roman"/>
          <w:sz w:val="28"/>
          <w:szCs w:val="28"/>
          <w:lang w:val="uk-UA"/>
        </w:rPr>
        <w:t>–</w:t>
      </w:r>
      <w:r w:rsidRPr="00BC73BB">
        <w:rPr>
          <w:rFonts w:ascii="Times New Roman" w:hAnsi="Times New Roman"/>
          <w:sz w:val="28"/>
          <w:szCs w:val="28"/>
        </w:rPr>
        <w:t>36.</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Сохор Н. Р. Клініко-гемодинамічні особливості різних підтипів ішемічного інсульту у гострому періоді. Укр. вісн. психоневр. 2015. Т. 23, № 2 (83). С. 26–31.</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Энергетическийметаболизммозга и металло-лигандный гомеостаз в этиопатогенезеишемическогоинсульта / Л. Л. Клименк и др. Микроэлем. в мед. 2015. № 2. С. 18–27.</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lastRenderedPageBreak/>
        <w:t xml:space="preserve">ActivationoftheNeuroprotectiveAngiotensin-ConvertingEnzyme 2 inRatIschemicStroke / D. M. Bennionetal. Hyperten. 2015. </w:t>
      </w:r>
      <w:r w:rsidRPr="00BC73BB">
        <w:rPr>
          <w:rFonts w:ascii="Times New Roman" w:hAnsi="Times New Roman"/>
          <w:sz w:val="28"/>
          <w:szCs w:val="28"/>
          <w:lang w:val="en-US"/>
        </w:rPr>
        <w:t xml:space="preserve">Vol. </w:t>
      </w:r>
      <w:r w:rsidRPr="00BC73BB">
        <w:rPr>
          <w:rFonts w:ascii="Times New Roman" w:hAnsi="Times New Roman"/>
          <w:sz w:val="28"/>
          <w:szCs w:val="28"/>
          <w:lang w:val="uk-UA"/>
        </w:rPr>
        <w:t xml:space="preserve">66 (1). Р. 141–148. </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Acuteischemicstroketreatment. </w:t>
      </w:r>
      <w:r w:rsidRPr="00BC73BB">
        <w:rPr>
          <w:rFonts w:ascii="Times New Roman" w:hAnsi="Times New Roman"/>
          <w:sz w:val="28"/>
          <w:szCs w:val="28"/>
          <w:lang w:val="en-US"/>
        </w:rPr>
        <w:t>P</w:t>
      </w:r>
      <w:r w:rsidRPr="00BC73BB">
        <w:rPr>
          <w:rFonts w:ascii="Times New Roman" w:hAnsi="Times New Roman"/>
          <w:sz w:val="28"/>
          <w:szCs w:val="28"/>
          <w:lang w:val="uk-UA"/>
        </w:rPr>
        <w:t xml:space="preserve">art 1: patientselection «the 50% barrierandthecapillaryindexscore» / F. Al-Ali etal. FrontNeurol. 2015. </w:t>
      </w:r>
      <w:r w:rsidRPr="00BC73BB">
        <w:rPr>
          <w:rFonts w:ascii="Times New Roman" w:hAnsi="Times New Roman"/>
          <w:sz w:val="28"/>
          <w:szCs w:val="28"/>
          <w:lang w:val="en-US"/>
        </w:rPr>
        <w:t xml:space="preserve">Vol. </w:t>
      </w:r>
      <w:r w:rsidRPr="00BC73BB">
        <w:rPr>
          <w:rFonts w:ascii="Times New Roman" w:hAnsi="Times New Roman"/>
          <w:sz w:val="28"/>
          <w:szCs w:val="28"/>
          <w:lang w:val="uk-UA"/>
        </w:rPr>
        <w:t>22 (6). Р. 83–89.</w:t>
      </w:r>
    </w:p>
    <w:p w:rsidR="001F0A71" w:rsidRPr="00BC73BB" w:rsidRDefault="001F0A71" w:rsidP="00E1086D">
      <w:pPr>
        <w:pStyle w:val="a5"/>
        <w:numPr>
          <w:ilvl w:val="0"/>
          <w:numId w:val="34"/>
        </w:numPr>
        <w:shd w:val="clear" w:color="auto" w:fill="FFFFFF"/>
        <w:tabs>
          <w:tab w:val="left" w:pos="-1080"/>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en-US"/>
        </w:rPr>
        <w:t>Beynon S.B., Walker F.R. Microglial activation in the injured and healthy brain: what are we really talking about? Practical and theoretical issues associated with the measurement of changes in microglial morphology</w:t>
      </w:r>
      <w:r w:rsidRPr="00BC73BB">
        <w:rPr>
          <w:rFonts w:ascii="Times New Roman" w:hAnsi="Times New Roman"/>
          <w:sz w:val="28"/>
          <w:szCs w:val="28"/>
          <w:lang w:val="uk-UA"/>
        </w:rPr>
        <w:t>.</w:t>
      </w:r>
      <w:r w:rsidRPr="00BC73BB">
        <w:rPr>
          <w:rFonts w:ascii="Times New Roman" w:hAnsi="Times New Roman"/>
          <w:sz w:val="28"/>
          <w:szCs w:val="28"/>
          <w:lang w:val="en-US"/>
        </w:rPr>
        <w:t>Neurosc. 2012. Vol. 225. P. 162–171.</w:t>
      </w:r>
    </w:p>
    <w:p w:rsidR="001F0A71" w:rsidRPr="00BC73BB" w:rsidRDefault="001F0A71" w:rsidP="00E1086D">
      <w:pPr>
        <w:pStyle w:val="a5"/>
        <w:numPr>
          <w:ilvl w:val="0"/>
          <w:numId w:val="34"/>
        </w:numPr>
        <w:shd w:val="clear" w:color="auto" w:fill="FFFFFF"/>
        <w:tabs>
          <w:tab w:val="left" w:pos="-1080"/>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uk-UA"/>
        </w:rPr>
        <w:t xml:space="preserve">Свістільнік Т. В. Феномен ексайтотоксичності. Механізми виникнення, значення в розвитку нейронального пошкодження та можливості його корекції при патологіях ЦНС. </w:t>
      </w:r>
      <w:r w:rsidRPr="00BC73BB">
        <w:rPr>
          <w:rFonts w:ascii="Times New Roman" w:hAnsi="Times New Roman"/>
          <w:sz w:val="28"/>
          <w:szCs w:val="28"/>
          <w:lang w:val="en-US"/>
        </w:rPr>
        <w:t>Biomed</w:t>
      </w:r>
      <w:r w:rsidRPr="00BC73BB">
        <w:rPr>
          <w:rFonts w:ascii="Times New Roman" w:hAnsi="Times New Roman"/>
          <w:sz w:val="28"/>
          <w:szCs w:val="28"/>
          <w:lang w:val="uk-UA"/>
        </w:rPr>
        <w:t xml:space="preserve">. </w:t>
      </w:r>
      <w:r w:rsidRPr="00BC73BB">
        <w:rPr>
          <w:rFonts w:ascii="Times New Roman" w:hAnsi="Times New Roman"/>
          <w:sz w:val="28"/>
          <w:szCs w:val="28"/>
          <w:lang w:val="en-US"/>
        </w:rPr>
        <w:t>andbiosoc</w:t>
      </w:r>
      <w:r w:rsidRPr="00BC73BB">
        <w:rPr>
          <w:rFonts w:ascii="Times New Roman" w:hAnsi="Times New Roman"/>
          <w:sz w:val="28"/>
          <w:szCs w:val="28"/>
          <w:lang w:val="uk-UA"/>
        </w:rPr>
        <w:t>. а</w:t>
      </w:r>
      <w:r w:rsidRPr="00BC73BB">
        <w:rPr>
          <w:rFonts w:ascii="Times New Roman" w:hAnsi="Times New Roman"/>
          <w:sz w:val="28"/>
          <w:szCs w:val="28"/>
          <w:lang w:val="en-US"/>
        </w:rPr>
        <w:t>nthrop</w:t>
      </w:r>
      <w:r w:rsidRPr="00BC73BB">
        <w:rPr>
          <w:rFonts w:ascii="Times New Roman" w:hAnsi="Times New Roman"/>
          <w:sz w:val="28"/>
          <w:szCs w:val="28"/>
          <w:lang w:val="uk-UA"/>
        </w:rPr>
        <w:t xml:space="preserve">. </w:t>
      </w:r>
      <w:r w:rsidRPr="00BC73BB">
        <w:rPr>
          <w:rFonts w:ascii="Times New Roman" w:hAnsi="Times New Roman"/>
          <w:sz w:val="28"/>
          <w:szCs w:val="28"/>
          <w:lang w:val="en-US"/>
        </w:rPr>
        <w:t xml:space="preserve">2013. Vol. 20. </w:t>
      </w:r>
      <w:r w:rsidRPr="00BC73BB">
        <w:rPr>
          <w:rFonts w:ascii="Times New Roman" w:hAnsi="Times New Roman"/>
          <w:sz w:val="28"/>
          <w:szCs w:val="28"/>
        </w:rPr>
        <w:t>С</w:t>
      </w:r>
      <w:r w:rsidRPr="00BC73BB">
        <w:rPr>
          <w:rFonts w:ascii="Times New Roman" w:hAnsi="Times New Roman"/>
          <w:sz w:val="28"/>
          <w:szCs w:val="28"/>
          <w:lang w:val="en-US"/>
        </w:rPr>
        <w:t>. 207–215.</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bCs/>
          <w:kern w:val="36"/>
          <w:sz w:val="28"/>
          <w:szCs w:val="28"/>
          <w:lang w:val="en-US"/>
        </w:rPr>
        <w:t xml:space="preserve">Neuroprotection in acute stroke: targeting excitotoxicity, oxidative and nitrosative stress, and inflammation </w:t>
      </w:r>
      <w:r w:rsidRPr="00BC73BB">
        <w:rPr>
          <w:rFonts w:ascii="Times New Roman" w:hAnsi="Times New Roman"/>
          <w:bCs/>
          <w:kern w:val="36"/>
          <w:sz w:val="28"/>
          <w:szCs w:val="28"/>
          <w:lang w:val="uk-UA"/>
        </w:rPr>
        <w:t xml:space="preserve">/ </w:t>
      </w:r>
      <w:r w:rsidRPr="00BC73BB">
        <w:rPr>
          <w:rFonts w:ascii="Times New Roman" w:hAnsi="Times New Roman"/>
          <w:bCs/>
          <w:kern w:val="36"/>
          <w:sz w:val="28"/>
          <w:szCs w:val="28"/>
          <w:lang w:val="en-US"/>
        </w:rPr>
        <w:t>Á.</w:t>
      </w:r>
      <w:hyperlink r:id="rId62" w:history="1">
        <w:r w:rsidRPr="00BC73BB">
          <w:rPr>
            <w:rFonts w:ascii="Times New Roman" w:hAnsi="Times New Roman"/>
            <w:sz w:val="28"/>
            <w:szCs w:val="28"/>
            <w:lang w:val="en-US"/>
          </w:rPr>
          <w:t>Chamorro</w:t>
        </w:r>
      </w:hyperlink>
      <w:r w:rsidRPr="00BC73BB">
        <w:rPr>
          <w:rFonts w:ascii="Times New Roman" w:hAnsi="Times New Roman"/>
          <w:sz w:val="28"/>
          <w:szCs w:val="28"/>
          <w:lang w:val="uk-UA"/>
        </w:rPr>
        <w:t xml:space="preserve">etal. </w:t>
      </w:r>
      <w:hyperlink r:id="rId63" w:tooltip="The Lancet. Neurology." w:history="1">
        <w:r w:rsidRPr="00BC73BB">
          <w:rPr>
            <w:rFonts w:ascii="Times New Roman" w:hAnsi="Times New Roman"/>
            <w:sz w:val="28"/>
            <w:szCs w:val="28"/>
            <w:lang w:val="en-US"/>
          </w:rPr>
          <w:t>Lancet Neurol.</w:t>
        </w:r>
      </w:hyperlink>
      <w:r w:rsidRPr="00BC73BB">
        <w:rPr>
          <w:rFonts w:ascii="Times New Roman" w:hAnsi="Times New Roman"/>
          <w:sz w:val="28"/>
          <w:szCs w:val="28"/>
          <w:lang w:val="en-US"/>
        </w:rPr>
        <w:t xml:space="preserve"> 2016. Vol. 15 (8). P. 869–</w:t>
      </w:r>
      <w:r w:rsidRPr="00BC73BB">
        <w:rPr>
          <w:rFonts w:ascii="Times New Roman" w:hAnsi="Times New Roman"/>
          <w:sz w:val="28"/>
          <w:szCs w:val="28"/>
          <w:lang w:val="uk-UA"/>
        </w:rPr>
        <w:t>8</w:t>
      </w:r>
      <w:r w:rsidRPr="00BC73BB">
        <w:rPr>
          <w:rFonts w:ascii="Times New Roman" w:hAnsi="Times New Roman"/>
          <w:sz w:val="28"/>
          <w:szCs w:val="28"/>
          <w:lang w:val="en-US"/>
        </w:rPr>
        <w:t>81</w:t>
      </w:r>
      <w:r w:rsidRPr="00BC73BB">
        <w:rPr>
          <w:rFonts w:ascii="Times New Roman" w:hAnsi="Times New Roman"/>
          <w:sz w:val="28"/>
          <w:szCs w:val="28"/>
          <w:lang w:val="uk-UA"/>
        </w:rPr>
        <w:t>.</w:t>
      </w:r>
    </w:p>
    <w:p w:rsidR="001F0A71" w:rsidRPr="00BC73BB" w:rsidRDefault="00F9347E"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en-US"/>
        </w:rPr>
      </w:pPr>
      <w:hyperlink r:id="rId64" w:history="1">
        <w:r w:rsidR="001F0A71" w:rsidRPr="00BC73BB">
          <w:rPr>
            <w:rFonts w:ascii="Times New Roman" w:hAnsi="Times New Roman"/>
            <w:sz w:val="28"/>
            <w:szCs w:val="28"/>
            <w:lang w:val="uk-UA"/>
          </w:rPr>
          <w:t>Caceres</w:t>
        </w:r>
      </w:hyperlink>
      <w:r w:rsidR="001F0A71" w:rsidRPr="00BC73BB">
        <w:rPr>
          <w:rFonts w:ascii="Times New Roman" w:hAnsi="Times New Roman"/>
          <w:sz w:val="28"/>
          <w:szCs w:val="28"/>
          <w:lang w:val="uk-UA"/>
        </w:rPr>
        <w:t xml:space="preserve">J. A, </w:t>
      </w:r>
      <w:hyperlink r:id="rId65" w:history="1">
        <w:r w:rsidR="001F0A71" w:rsidRPr="00BC73BB">
          <w:rPr>
            <w:rFonts w:ascii="Times New Roman" w:hAnsi="Times New Roman"/>
            <w:sz w:val="28"/>
            <w:szCs w:val="28"/>
            <w:lang w:val="uk-UA"/>
          </w:rPr>
          <w:t>Goldstein</w:t>
        </w:r>
      </w:hyperlink>
      <w:r w:rsidR="001F0A71" w:rsidRPr="00BC73BB">
        <w:rPr>
          <w:rFonts w:ascii="Times New Roman" w:hAnsi="Times New Roman"/>
          <w:sz w:val="28"/>
          <w:szCs w:val="28"/>
          <w:lang w:val="uk-UA"/>
        </w:rPr>
        <w:t xml:space="preserve"> J. N. IntracranialHemorrage. </w:t>
      </w:r>
      <w:hyperlink r:id="rId66" w:tgtFrame="pmc_ext" w:history="1">
        <w:r w:rsidR="001F0A71" w:rsidRPr="00BC73BB">
          <w:rPr>
            <w:rFonts w:ascii="Times New Roman" w:hAnsi="Times New Roman"/>
            <w:sz w:val="28"/>
            <w:szCs w:val="28"/>
            <w:lang w:val="uk-UA"/>
          </w:rPr>
          <w:t xml:space="preserve">EmergMedClinNorthAm. 2012. </w:t>
        </w:r>
        <w:r w:rsidR="001F0A71" w:rsidRPr="00BC73BB">
          <w:rPr>
            <w:rFonts w:ascii="Times New Roman" w:hAnsi="Times New Roman"/>
            <w:sz w:val="28"/>
            <w:szCs w:val="28"/>
            <w:lang w:val="en-US"/>
          </w:rPr>
          <w:t xml:space="preserve">Vol. </w:t>
        </w:r>
        <w:r w:rsidR="001F0A71" w:rsidRPr="00BC73BB">
          <w:rPr>
            <w:rFonts w:ascii="Times New Roman" w:hAnsi="Times New Roman"/>
            <w:sz w:val="28"/>
            <w:szCs w:val="28"/>
            <w:lang w:val="uk-UA"/>
          </w:rPr>
          <w:t>30 (3). Р. 771–794.</w:t>
        </w:r>
      </w:hyperlink>
    </w:p>
    <w:p w:rsidR="001F0A71" w:rsidRPr="00BC73BB" w:rsidRDefault="001F0A71" w:rsidP="00E1086D">
      <w:pPr>
        <w:pStyle w:val="a5"/>
        <w:numPr>
          <w:ilvl w:val="0"/>
          <w:numId w:val="34"/>
        </w:numPr>
        <w:shd w:val="clear" w:color="auto" w:fill="FFFFFF"/>
        <w:tabs>
          <w:tab w:val="left" w:pos="-1080"/>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Aronowski J., Zhao X. </w:t>
      </w:r>
      <w:hyperlink r:id="rId67" w:history="1">
        <w:r w:rsidRPr="00BC73BB">
          <w:rPr>
            <w:rFonts w:ascii="Times New Roman" w:hAnsi="Times New Roman"/>
            <w:sz w:val="28"/>
            <w:szCs w:val="28"/>
            <w:lang w:val="uk-UA"/>
          </w:rPr>
          <w:t>Molecularpathophysiologyofcerebralhemorrhage: secondarybraininjury.</w:t>
        </w:r>
      </w:hyperlink>
      <w:r w:rsidRPr="00BC73BB">
        <w:rPr>
          <w:rFonts w:ascii="Times New Roman" w:hAnsi="Times New Roman"/>
          <w:sz w:val="28"/>
          <w:szCs w:val="28"/>
          <w:lang w:val="uk-UA"/>
        </w:rPr>
        <w:t xml:space="preserve">Stroke. 2011. </w:t>
      </w:r>
      <w:r w:rsidRPr="00BC73BB">
        <w:rPr>
          <w:rFonts w:ascii="Times New Roman" w:hAnsi="Times New Roman"/>
          <w:sz w:val="28"/>
          <w:szCs w:val="28"/>
          <w:lang w:val="en-US"/>
        </w:rPr>
        <w:t xml:space="preserve">Vol. </w:t>
      </w:r>
      <w:r w:rsidRPr="00BC73BB">
        <w:rPr>
          <w:rFonts w:ascii="Times New Roman" w:hAnsi="Times New Roman"/>
          <w:sz w:val="28"/>
          <w:szCs w:val="28"/>
          <w:lang w:val="uk-UA"/>
        </w:rPr>
        <w:t>42 (6). Р. 1781</w:t>
      </w:r>
      <w:r w:rsidRPr="00BC73BB">
        <w:rPr>
          <w:rFonts w:ascii="Times New Roman" w:hAnsi="Times New Roman"/>
          <w:sz w:val="28"/>
          <w:szCs w:val="28"/>
          <w:lang w:val="en-US"/>
        </w:rPr>
        <w:t>–</w:t>
      </w:r>
      <w:r w:rsidRPr="00BC73BB">
        <w:rPr>
          <w:rFonts w:ascii="Times New Roman" w:hAnsi="Times New Roman"/>
          <w:sz w:val="28"/>
          <w:szCs w:val="28"/>
          <w:lang w:val="uk-UA"/>
        </w:rPr>
        <w:t xml:space="preserve">1786. </w:t>
      </w:r>
    </w:p>
    <w:p w:rsidR="001F0A71" w:rsidRPr="00BC73BB" w:rsidRDefault="001F0A71" w:rsidP="00E1086D">
      <w:pPr>
        <w:pStyle w:val="a5"/>
        <w:numPr>
          <w:ilvl w:val="0"/>
          <w:numId w:val="34"/>
        </w:numPr>
        <w:shd w:val="clear" w:color="auto" w:fill="FFFFFF"/>
        <w:tabs>
          <w:tab w:val="left" w:pos="-1080"/>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Oxidativestressandparaoxonase 1 statusinacuteischemicstrokepatients / J. Kotur-Stevuljevicetal. Atherosclerosis. 2015. </w:t>
      </w:r>
      <w:r w:rsidRPr="00BC73BB">
        <w:rPr>
          <w:rFonts w:ascii="Times New Roman" w:hAnsi="Times New Roman"/>
          <w:sz w:val="28"/>
          <w:szCs w:val="28"/>
          <w:lang w:val="en-US"/>
        </w:rPr>
        <w:t xml:space="preserve">Vol. </w:t>
      </w:r>
      <w:r w:rsidRPr="00BC73BB">
        <w:rPr>
          <w:rFonts w:ascii="Times New Roman" w:hAnsi="Times New Roman"/>
          <w:sz w:val="28"/>
          <w:szCs w:val="28"/>
          <w:lang w:val="uk-UA"/>
        </w:rPr>
        <w:t>241 (1). Р. 192–198.</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shd w:val="clear" w:color="auto" w:fill="FFFFFF"/>
          <w:lang w:val="en-US"/>
        </w:rPr>
        <w:t>LauA.</w:t>
      </w:r>
      <w:r w:rsidRPr="00BC73BB">
        <w:rPr>
          <w:rFonts w:ascii="Times New Roman" w:hAnsi="Times New Roman"/>
          <w:sz w:val="28"/>
          <w:szCs w:val="28"/>
          <w:shd w:val="clear" w:color="auto" w:fill="FFFFFF"/>
          <w:lang w:val="uk-UA"/>
        </w:rPr>
        <w:t xml:space="preserve">, </w:t>
      </w:r>
      <w:r w:rsidRPr="00BC73BB">
        <w:rPr>
          <w:rFonts w:ascii="Times New Roman" w:hAnsi="Times New Roman"/>
          <w:sz w:val="28"/>
          <w:szCs w:val="28"/>
          <w:shd w:val="clear" w:color="auto" w:fill="FFFFFF"/>
          <w:lang w:val="en-US"/>
        </w:rPr>
        <w:t>TymianskiM</w:t>
      </w:r>
      <w:r w:rsidRPr="00BC73BB">
        <w:rPr>
          <w:rFonts w:ascii="Times New Roman" w:hAnsi="Times New Roman"/>
          <w:sz w:val="28"/>
          <w:szCs w:val="28"/>
          <w:shd w:val="clear" w:color="auto" w:fill="FFFFFF"/>
          <w:lang w:val="uk-UA"/>
        </w:rPr>
        <w:t xml:space="preserve">. </w:t>
      </w:r>
      <w:r w:rsidRPr="00BC73BB">
        <w:rPr>
          <w:rFonts w:ascii="Times New Roman" w:hAnsi="Times New Roman"/>
          <w:sz w:val="28"/>
          <w:szCs w:val="28"/>
          <w:shd w:val="clear" w:color="auto" w:fill="FFFFFF"/>
          <w:lang w:val="en-US"/>
        </w:rPr>
        <w:t>Glutamatereceptors</w:t>
      </w:r>
      <w:r w:rsidRPr="00BC73BB">
        <w:rPr>
          <w:rFonts w:ascii="Times New Roman" w:hAnsi="Times New Roman"/>
          <w:sz w:val="28"/>
          <w:szCs w:val="28"/>
          <w:shd w:val="clear" w:color="auto" w:fill="FFFFFF"/>
          <w:lang w:val="uk-UA"/>
        </w:rPr>
        <w:t xml:space="preserve">, </w:t>
      </w:r>
      <w:r w:rsidRPr="00BC73BB">
        <w:rPr>
          <w:rFonts w:ascii="Times New Roman" w:hAnsi="Times New Roman"/>
          <w:sz w:val="28"/>
          <w:szCs w:val="28"/>
          <w:shd w:val="clear" w:color="auto" w:fill="FFFFFF"/>
          <w:lang w:val="en-US"/>
        </w:rPr>
        <w:t>neurotoxicityandneurodegeneration</w:t>
      </w:r>
      <w:r w:rsidRPr="00BC73BB">
        <w:rPr>
          <w:rFonts w:ascii="Times New Roman" w:hAnsi="Times New Roman"/>
          <w:sz w:val="28"/>
          <w:szCs w:val="28"/>
          <w:shd w:val="clear" w:color="auto" w:fill="FFFFFF"/>
          <w:lang w:val="uk-UA"/>
        </w:rPr>
        <w:t>.</w:t>
      </w:r>
      <w:r w:rsidRPr="00BC73BB">
        <w:rPr>
          <w:rStyle w:val="ref-journal"/>
          <w:rFonts w:ascii="Times New Roman" w:eastAsiaTheme="majorEastAsia" w:hAnsi="Times New Roman"/>
          <w:sz w:val="28"/>
          <w:szCs w:val="28"/>
          <w:shd w:val="clear" w:color="auto" w:fill="FFFFFF"/>
          <w:lang w:val="en-US"/>
        </w:rPr>
        <w:t>Pflugers Arch.</w:t>
      </w:r>
      <w:r w:rsidRPr="00BC73BB">
        <w:rPr>
          <w:rFonts w:ascii="Times New Roman" w:hAnsi="Times New Roman"/>
          <w:sz w:val="28"/>
          <w:szCs w:val="28"/>
          <w:shd w:val="clear" w:color="auto" w:fill="FFFFFF"/>
          <w:lang w:val="en-US"/>
        </w:rPr>
        <w:t>2010</w:t>
      </w:r>
      <w:r w:rsidRPr="00086D89">
        <w:rPr>
          <w:rFonts w:ascii="Times New Roman" w:hAnsi="Times New Roman"/>
          <w:sz w:val="28"/>
          <w:szCs w:val="28"/>
          <w:shd w:val="clear" w:color="auto" w:fill="FFFFFF"/>
          <w:lang w:val="en-US"/>
        </w:rPr>
        <w:t xml:space="preserve">. </w:t>
      </w:r>
      <w:r w:rsidRPr="00BC73BB">
        <w:rPr>
          <w:rFonts w:ascii="Times New Roman" w:hAnsi="Times New Roman"/>
          <w:sz w:val="28"/>
          <w:szCs w:val="28"/>
          <w:lang w:val="en-US"/>
        </w:rPr>
        <w:t xml:space="preserve">Vol. </w:t>
      </w:r>
      <w:r w:rsidRPr="00BC73BB">
        <w:rPr>
          <w:rStyle w:val="ref-vol"/>
          <w:rFonts w:ascii="Times New Roman" w:eastAsiaTheme="majorEastAsia" w:hAnsi="Times New Roman"/>
          <w:sz w:val="28"/>
          <w:szCs w:val="28"/>
          <w:shd w:val="clear" w:color="auto" w:fill="FFFFFF"/>
          <w:lang w:val="en-US"/>
        </w:rPr>
        <w:t>460</w:t>
      </w:r>
      <w:r w:rsidRPr="00BC73BB">
        <w:rPr>
          <w:rFonts w:ascii="Times New Roman" w:hAnsi="Times New Roman"/>
          <w:sz w:val="28"/>
          <w:szCs w:val="28"/>
          <w:shd w:val="clear" w:color="auto" w:fill="FFFFFF"/>
        </w:rPr>
        <w:t xml:space="preserve">. Р. </w:t>
      </w:r>
      <w:r w:rsidRPr="00BC73BB">
        <w:rPr>
          <w:rFonts w:ascii="Times New Roman" w:hAnsi="Times New Roman"/>
          <w:sz w:val="28"/>
          <w:szCs w:val="28"/>
          <w:shd w:val="clear" w:color="auto" w:fill="FFFFFF"/>
          <w:lang w:val="en-US"/>
        </w:rPr>
        <w:t>525–542.</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en-US"/>
        </w:rPr>
        <w:t xml:space="preserve">Role of synaptic and nonsynaptic glutamate receptors in ischemia induced neurotoxicity / Brassai A. </w:t>
      </w:r>
      <w:r w:rsidRPr="00BC73BB">
        <w:rPr>
          <w:rFonts w:ascii="Times New Roman" w:hAnsi="Times New Roman"/>
          <w:sz w:val="28"/>
          <w:szCs w:val="28"/>
          <w:lang w:val="uk-UA"/>
        </w:rPr>
        <w:t xml:space="preserve">etal. </w:t>
      </w:r>
      <w:r w:rsidRPr="00BC73BB">
        <w:rPr>
          <w:rFonts w:ascii="Times New Roman" w:hAnsi="Times New Roman"/>
          <w:sz w:val="28"/>
          <w:szCs w:val="28"/>
          <w:lang w:val="en-US"/>
        </w:rPr>
        <w:t>Brain Res. Bull. 2015. Vol. 112. P. 1–6.</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Sanderson T. H. Raghunayakula S., Kumar R. Neuronalhypoxiadisruptsmitochondrialfusion. Neurosc. 2015. №3 (301). Р. 71–78.</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en-US"/>
        </w:rPr>
        <w:t>ScarpullaR</w:t>
      </w:r>
      <w:r w:rsidRPr="00BC73BB">
        <w:rPr>
          <w:rFonts w:ascii="Times New Roman" w:hAnsi="Times New Roman"/>
          <w:sz w:val="28"/>
          <w:szCs w:val="28"/>
          <w:lang w:val="uk-UA"/>
        </w:rPr>
        <w:t xml:space="preserve">. </w:t>
      </w:r>
      <w:r w:rsidRPr="00BC73BB">
        <w:rPr>
          <w:rFonts w:ascii="Times New Roman" w:hAnsi="Times New Roman"/>
          <w:sz w:val="28"/>
          <w:szCs w:val="28"/>
          <w:lang w:val="en-US"/>
        </w:rPr>
        <w:t>C</w:t>
      </w:r>
      <w:r w:rsidRPr="00BC73BB">
        <w:rPr>
          <w:rFonts w:ascii="Times New Roman" w:hAnsi="Times New Roman"/>
          <w:sz w:val="28"/>
          <w:szCs w:val="28"/>
          <w:lang w:val="uk-UA"/>
        </w:rPr>
        <w:t xml:space="preserve">. </w:t>
      </w:r>
      <w:r w:rsidRPr="00BC73BB">
        <w:rPr>
          <w:rFonts w:ascii="Times New Roman" w:hAnsi="Times New Roman"/>
          <w:sz w:val="28"/>
          <w:szCs w:val="28"/>
          <w:lang w:val="en-US"/>
        </w:rPr>
        <w:t>Nucleus</w:t>
      </w:r>
      <w:r w:rsidRPr="00BC73BB">
        <w:rPr>
          <w:rFonts w:ascii="Times New Roman" w:hAnsi="Times New Roman"/>
          <w:sz w:val="28"/>
          <w:szCs w:val="28"/>
          <w:lang w:val="uk-UA"/>
        </w:rPr>
        <w:t>-</w:t>
      </w:r>
      <w:r w:rsidRPr="00BC73BB">
        <w:rPr>
          <w:rFonts w:ascii="Times New Roman" w:hAnsi="Times New Roman"/>
          <w:sz w:val="28"/>
          <w:szCs w:val="28"/>
          <w:lang w:val="en-US"/>
        </w:rPr>
        <w:t>encodedregulatorsofmitochondrialfunction</w:t>
      </w:r>
      <w:r w:rsidRPr="00BC73BB">
        <w:rPr>
          <w:rFonts w:ascii="Times New Roman" w:hAnsi="Times New Roman"/>
          <w:sz w:val="28"/>
          <w:szCs w:val="28"/>
          <w:lang w:val="uk-UA"/>
        </w:rPr>
        <w:t xml:space="preserve">: </w:t>
      </w:r>
      <w:r w:rsidRPr="00BC73BB">
        <w:rPr>
          <w:rFonts w:ascii="Times New Roman" w:hAnsi="Times New Roman"/>
          <w:sz w:val="28"/>
          <w:szCs w:val="28"/>
          <w:lang w:val="en-US"/>
        </w:rPr>
        <w:t>integrationofrespiratorychainexpression</w:t>
      </w:r>
      <w:r w:rsidRPr="00BC73BB">
        <w:rPr>
          <w:rFonts w:ascii="Times New Roman" w:hAnsi="Times New Roman"/>
          <w:sz w:val="28"/>
          <w:szCs w:val="28"/>
          <w:lang w:val="uk-UA"/>
        </w:rPr>
        <w:t xml:space="preserve">, </w:t>
      </w:r>
      <w:r w:rsidRPr="00BC73BB">
        <w:rPr>
          <w:rFonts w:ascii="Times New Roman" w:hAnsi="Times New Roman"/>
          <w:sz w:val="28"/>
          <w:szCs w:val="28"/>
          <w:lang w:val="en-US"/>
        </w:rPr>
        <w:t>nutrientsensingandmetabolicstress.BBA</w:t>
      </w:r>
      <w:r w:rsidRPr="00BC73BB">
        <w:rPr>
          <w:rFonts w:ascii="Times New Roman" w:hAnsi="Times New Roman"/>
          <w:sz w:val="28"/>
          <w:szCs w:val="28"/>
          <w:lang w:val="uk-UA"/>
        </w:rPr>
        <w:t xml:space="preserve">- </w:t>
      </w:r>
      <w:r w:rsidRPr="00BC73BB">
        <w:rPr>
          <w:rFonts w:ascii="Times New Roman" w:hAnsi="Times New Roman"/>
          <w:sz w:val="28"/>
          <w:szCs w:val="28"/>
          <w:lang w:val="en-US"/>
        </w:rPr>
        <w:t>GeneRegulatoryMechanisms</w:t>
      </w:r>
      <w:r w:rsidRPr="00BC73BB">
        <w:rPr>
          <w:rFonts w:ascii="Times New Roman" w:hAnsi="Times New Roman"/>
          <w:sz w:val="28"/>
          <w:szCs w:val="28"/>
          <w:lang w:val="uk-UA"/>
        </w:rPr>
        <w:t>. 2012. 1819 (9–10). Р. 1088–1097.</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shd w:val="clear" w:color="auto" w:fill="FFFFFF"/>
          <w:lang w:val="uk-UA"/>
        </w:rPr>
      </w:pPr>
      <w:r w:rsidRPr="00BC73BB">
        <w:rPr>
          <w:rFonts w:ascii="Times New Roman" w:hAnsi="Times New Roman"/>
          <w:sz w:val="28"/>
          <w:szCs w:val="28"/>
          <w:shd w:val="clear" w:color="auto" w:fill="FFFFFF"/>
          <w:lang w:val="en-US"/>
        </w:rPr>
        <w:t>ChoiD. W</w:t>
      </w:r>
      <w:r w:rsidRPr="00BC73BB">
        <w:rPr>
          <w:rFonts w:ascii="Times New Roman" w:hAnsi="Times New Roman"/>
          <w:sz w:val="28"/>
          <w:szCs w:val="28"/>
          <w:shd w:val="clear" w:color="auto" w:fill="FFFFFF"/>
          <w:lang w:val="uk-UA"/>
        </w:rPr>
        <w:t xml:space="preserve">. </w:t>
      </w:r>
      <w:r w:rsidRPr="00BC73BB">
        <w:rPr>
          <w:rFonts w:ascii="Times New Roman" w:hAnsi="Times New Roman"/>
          <w:sz w:val="28"/>
          <w:szCs w:val="28"/>
          <w:shd w:val="clear" w:color="auto" w:fill="FFFFFF"/>
          <w:lang w:val="en-US"/>
        </w:rPr>
        <w:t>Glutamate neurotoxicity in cortical cell culture is calcium dependent.</w:t>
      </w:r>
      <w:r w:rsidRPr="00BC73BB">
        <w:rPr>
          <w:rStyle w:val="ref-journal"/>
          <w:rFonts w:ascii="Times New Roman" w:eastAsiaTheme="majorEastAsia" w:hAnsi="Times New Roman"/>
          <w:sz w:val="28"/>
          <w:szCs w:val="28"/>
          <w:shd w:val="clear" w:color="auto" w:fill="FFFFFF"/>
          <w:lang w:val="en-US"/>
        </w:rPr>
        <w:t>Neurosci Lett.</w:t>
      </w:r>
      <w:r w:rsidRPr="00BC73BB">
        <w:rPr>
          <w:rFonts w:ascii="Times New Roman" w:hAnsi="Times New Roman"/>
          <w:sz w:val="28"/>
          <w:szCs w:val="28"/>
          <w:shd w:val="clear" w:color="auto" w:fill="FFFFFF"/>
          <w:lang w:val="en-US"/>
        </w:rPr>
        <w:t>1985</w:t>
      </w:r>
      <w:r w:rsidRPr="00086D89">
        <w:rPr>
          <w:rFonts w:ascii="Times New Roman" w:hAnsi="Times New Roman"/>
          <w:sz w:val="28"/>
          <w:szCs w:val="28"/>
          <w:shd w:val="clear" w:color="auto" w:fill="FFFFFF"/>
          <w:lang w:val="en-US"/>
        </w:rPr>
        <w:t xml:space="preserve">. </w:t>
      </w:r>
      <w:r w:rsidRPr="00BC73BB">
        <w:rPr>
          <w:rFonts w:ascii="Times New Roman" w:hAnsi="Times New Roman"/>
          <w:sz w:val="28"/>
          <w:szCs w:val="28"/>
          <w:lang w:val="en-US"/>
        </w:rPr>
        <w:t xml:space="preserve">Vol. </w:t>
      </w:r>
      <w:r w:rsidRPr="00BC73BB">
        <w:rPr>
          <w:rStyle w:val="ref-vol"/>
          <w:rFonts w:ascii="Times New Roman" w:eastAsiaTheme="majorEastAsia" w:hAnsi="Times New Roman"/>
          <w:sz w:val="28"/>
          <w:szCs w:val="28"/>
          <w:shd w:val="clear" w:color="auto" w:fill="FFFFFF"/>
          <w:lang w:val="en-US"/>
        </w:rPr>
        <w:t>58</w:t>
      </w:r>
      <w:r w:rsidRPr="00BC73BB">
        <w:rPr>
          <w:rFonts w:ascii="Times New Roman" w:hAnsi="Times New Roman"/>
          <w:sz w:val="28"/>
          <w:szCs w:val="28"/>
          <w:shd w:val="clear" w:color="auto" w:fill="FFFFFF"/>
        </w:rPr>
        <w:t xml:space="preserve">. Р. </w:t>
      </w:r>
      <w:r w:rsidRPr="00BC73BB">
        <w:rPr>
          <w:rFonts w:ascii="Times New Roman" w:hAnsi="Times New Roman"/>
          <w:sz w:val="28"/>
          <w:szCs w:val="28"/>
          <w:shd w:val="clear" w:color="auto" w:fill="FFFFFF"/>
          <w:lang w:val="en-US"/>
        </w:rPr>
        <w:t>293–297</w:t>
      </w:r>
      <w:r w:rsidRPr="00BC73BB">
        <w:rPr>
          <w:rFonts w:ascii="Times New Roman" w:hAnsi="Times New Roman"/>
          <w:sz w:val="28"/>
          <w:szCs w:val="28"/>
          <w:shd w:val="clear" w:color="auto" w:fill="FFFFFF"/>
        </w:rPr>
        <w:t>.</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lastRenderedPageBreak/>
        <w:t>Kristián T., Siesjö B. K.</w:t>
      </w:r>
      <w:hyperlink r:id="rId68" w:history="1">
        <w:r w:rsidRPr="00BC73BB">
          <w:rPr>
            <w:rFonts w:ascii="Times New Roman" w:hAnsi="Times New Roman"/>
            <w:sz w:val="28"/>
            <w:szCs w:val="28"/>
            <w:lang w:val="uk-UA"/>
          </w:rPr>
          <w:t>Calciuminischemiccelldeath</w:t>
        </w:r>
        <w:r w:rsidRPr="00BC73BB">
          <w:rPr>
            <w:rFonts w:ascii="Times New Roman" w:hAnsi="Times New Roman"/>
            <w:sz w:val="28"/>
            <w:szCs w:val="28"/>
            <w:lang w:val="en-US"/>
          </w:rPr>
          <w:t>.</w:t>
        </w:r>
      </w:hyperlink>
      <w:r w:rsidRPr="00BC73BB">
        <w:rPr>
          <w:rFonts w:ascii="Times New Roman" w:hAnsi="Times New Roman"/>
          <w:sz w:val="28"/>
          <w:szCs w:val="28"/>
          <w:lang w:val="uk-UA"/>
        </w:rPr>
        <w:t xml:space="preserve">Stroke. 1998. </w:t>
      </w:r>
      <w:r w:rsidRPr="00BC73BB">
        <w:rPr>
          <w:rFonts w:ascii="Times New Roman" w:hAnsi="Times New Roman"/>
          <w:sz w:val="28"/>
          <w:szCs w:val="28"/>
          <w:lang w:val="en-US"/>
        </w:rPr>
        <w:t xml:space="preserve">Vol. </w:t>
      </w:r>
      <w:r w:rsidRPr="00BC73BB">
        <w:rPr>
          <w:rFonts w:ascii="Times New Roman" w:hAnsi="Times New Roman"/>
          <w:sz w:val="28"/>
          <w:szCs w:val="28"/>
          <w:lang w:val="uk-UA"/>
        </w:rPr>
        <w:t>29 (3). Р. 705</w:t>
      </w:r>
      <w:r w:rsidRPr="00BC73BB">
        <w:rPr>
          <w:rFonts w:ascii="Times New Roman" w:hAnsi="Times New Roman"/>
          <w:sz w:val="28"/>
          <w:szCs w:val="28"/>
          <w:shd w:val="clear" w:color="auto" w:fill="FFFFFF"/>
          <w:lang w:val="en-US"/>
        </w:rPr>
        <w:t>–</w:t>
      </w:r>
      <w:r w:rsidRPr="00BC73BB">
        <w:rPr>
          <w:rFonts w:ascii="Times New Roman" w:hAnsi="Times New Roman"/>
          <w:sz w:val="28"/>
          <w:szCs w:val="28"/>
          <w:shd w:val="clear" w:color="auto" w:fill="FFFFFF"/>
        </w:rPr>
        <w:t>7</w:t>
      </w:r>
      <w:r w:rsidRPr="00BC73BB">
        <w:rPr>
          <w:rFonts w:ascii="Times New Roman" w:hAnsi="Times New Roman"/>
          <w:sz w:val="28"/>
          <w:szCs w:val="28"/>
          <w:lang w:val="uk-UA"/>
        </w:rPr>
        <w:t>18.</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Sattler R., Tymianski M. </w:t>
      </w:r>
      <w:hyperlink r:id="rId69" w:history="1">
        <w:r w:rsidRPr="00BC73BB">
          <w:rPr>
            <w:rFonts w:ascii="Times New Roman" w:hAnsi="Times New Roman"/>
            <w:sz w:val="28"/>
            <w:szCs w:val="28"/>
            <w:lang w:val="uk-UA"/>
          </w:rPr>
          <w:t>Molecularmechanismsofglutamatereceptor-mediatedexcitotoxicneuronalcelldeath.</w:t>
        </w:r>
      </w:hyperlink>
      <w:r w:rsidRPr="00BC73BB">
        <w:rPr>
          <w:rFonts w:ascii="Times New Roman" w:hAnsi="Times New Roman"/>
          <w:sz w:val="28"/>
          <w:szCs w:val="28"/>
          <w:lang w:val="uk-UA"/>
        </w:rPr>
        <w:t xml:space="preserve">MolNeurobiol. 2001. </w:t>
      </w:r>
      <w:r w:rsidRPr="00BC73BB">
        <w:rPr>
          <w:rFonts w:ascii="Times New Roman" w:hAnsi="Times New Roman"/>
          <w:sz w:val="28"/>
          <w:szCs w:val="28"/>
          <w:lang w:val="en-US"/>
        </w:rPr>
        <w:t xml:space="preserve">Vol. </w:t>
      </w:r>
      <w:r w:rsidRPr="00BC73BB">
        <w:rPr>
          <w:rFonts w:ascii="Times New Roman" w:hAnsi="Times New Roman"/>
          <w:sz w:val="28"/>
          <w:szCs w:val="28"/>
          <w:lang w:val="uk-UA"/>
        </w:rPr>
        <w:t>24 (1</w:t>
      </w:r>
      <w:r w:rsidRPr="00BC73BB">
        <w:rPr>
          <w:rFonts w:ascii="Times New Roman" w:hAnsi="Times New Roman"/>
          <w:sz w:val="28"/>
          <w:szCs w:val="28"/>
          <w:shd w:val="clear" w:color="auto" w:fill="FFFFFF"/>
          <w:lang w:val="en-US"/>
        </w:rPr>
        <w:t>–</w:t>
      </w:r>
      <w:r w:rsidRPr="00BC73BB">
        <w:rPr>
          <w:rFonts w:ascii="Times New Roman" w:hAnsi="Times New Roman"/>
          <w:sz w:val="28"/>
          <w:szCs w:val="28"/>
          <w:lang w:val="uk-UA"/>
        </w:rPr>
        <w:t>3). Р. 107</w:t>
      </w:r>
      <w:r w:rsidRPr="00BC73BB">
        <w:rPr>
          <w:rFonts w:ascii="Times New Roman" w:hAnsi="Times New Roman"/>
          <w:sz w:val="28"/>
          <w:szCs w:val="28"/>
          <w:shd w:val="clear" w:color="auto" w:fill="FFFFFF"/>
          <w:lang w:val="en-US"/>
        </w:rPr>
        <w:t>–</w:t>
      </w:r>
      <w:r w:rsidRPr="00BC73BB">
        <w:rPr>
          <w:rFonts w:ascii="Times New Roman" w:hAnsi="Times New Roman"/>
          <w:sz w:val="28"/>
          <w:szCs w:val="28"/>
          <w:lang w:val="uk-UA"/>
        </w:rPr>
        <w:t>129.</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Lai T. W., Zhang S., Wang Y. T. </w:t>
      </w:r>
      <w:hyperlink r:id="rId70" w:history="1">
        <w:r w:rsidRPr="00BC73BB">
          <w:rPr>
            <w:rFonts w:ascii="Times New Roman" w:hAnsi="Times New Roman"/>
            <w:sz w:val="28"/>
            <w:szCs w:val="28"/>
            <w:lang w:val="uk-UA"/>
          </w:rPr>
          <w:t>Excitotoxicityandstroke</w:t>
        </w:r>
        <w:r w:rsidRPr="00BC73BB">
          <w:rPr>
            <w:rFonts w:ascii="Times New Roman" w:hAnsi="Times New Roman"/>
            <w:sz w:val="28"/>
            <w:szCs w:val="28"/>
            <w:lang w:val="en-US"/>
          </w:rPr>
          <w:t xml:space="preserve">: </w:t>
        </w:r>
        <w:r w:rsidRPr="00BC73BB">
          <w:rPr>
            <w:rFonts w:ascii="Times New Roman" w:hAnsi="Times New Roman"/>
            <w:sz w:val="28"/>
            <w:szCs w:val="28"/>
            <w:lang w:val="uk-UA"/>
          </w:rPr>
          <w:t>identifyingnoveltargetsforneuroprotection</w:t>
        </w:r>
        <w:r w:rsidRPr="00BC73BB">
          <w:rPr>
            <w:rFonts w:ascii="Times New Roman" w:hAnsi="Times New Roman"/>
            <w:sz w:val="28"/>
            <w:szCs w:val="28"/>
            <w:lang w:val="en-US"/>
          </w:rPr>
          <w:t>.</w:t>
        </w:r>
      </w:hyperlink>
      <w:r w:rsidRPr="00BC73BB">
        <w:rPr>
          <w:rFonts w:ascii="Times New Roman" w:hAnsi="Times New Roman"/>
          <w:sz w:val="28"/>
          <w:szCs w:val="28"/>
          <w:lang w:val="uk-UA"/>
        </w:rPr>
        <w:t xml:space="preserve">ProgNeurobiol. 2014. </w:t>
      </w:r>
      <w:r w:rsidRPr="00BC73BB">
        <w:rPr>
          <w:rFonts w:ascii="Times New Roman" w:hAnsi="Times New Roman"/>
          <w:sz w:val="28"/>
          <w:szCs w:val="28"/>
          <w:lang w:val="en-US"/>
        </w:rPr>
        <w:t xml:space="preserve">Vol. </w:t>
      </w:r>
      <w:r w:rsidRPr="00BC73BB">
        <w:rPr>
          <w:rFonts w:ascii="Times New Roman" w:hAnsi="Times New Roman"/>
          <w:sz w:val="28"/>
          <w:szCs w:val="28"/>
          <w:lang w:val="uk-UA"/>
        </w:rPr>
        <w:t>115. Р. 157</w:t>
      </w:r>
      <w:r w:rsidRPr="00BC73BB">
        <w:rPr>
          <w:rFonts w:ascii="Times New Roman" w:hAnsi="Times New Roman"/>
          <w:sz w:val="28"/>
          <w:szCs w:val="28"/>
          <w:shd w:val="clear" w:color="auto" w:fill="FFFFFF"/>
          <w:lang w:val="en-US"/>
        </w:rPr>
        <w:t>–</w:t>
      </w:r>
      <w:r w:rsidRPr="00BC73BB">
        <w:rPr>
          <w:rFonts w:ascii="Times New Roman" w:hAnsi="Times New Roman"/>
          <w:sz w:val="28"/>
          <w:szCs w:val="28"/>
          <w:lang w:val="uk-UA"/>
        </w:rPr>
        <w:t>188.</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Нейропротекция и нейропластичность : монография / И. Ф. Беленичев и др. Киев : Логос, 2015. 512 с.</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en-US"/>
        </w:rPr>
        <w:t>S-nitrosylation of C-Src via NMDAR-nNOS module promotes C-Src activation and NR2a phosphorylation in cerebral ischemia/reperfusion / L</w:t>
      </w:r>
      <w:r w:rsidRPr="00BC73BB">
        <w:rPr>
          <w:rFonts w:ascii="Times New Roman" w:hAnsi="Times New Roman"/>
          <w:sz w:val="28"/>
          <w:szCs w:val="28"/>
          <w:lang w:val="uk-UA"/>
        </w:rPr>
        <w:t xml:space="preserve">. </w:t>
      </w:r>
      <w:r w:rsidRPr="00BC73BB">
        <w:rPr>
          <w:rFonts w:ascii="Times New Roman" w:hAnsi="Times New Roman"/>
          <w:sz w:val="28"/>
          <w:szCs w:val="28"/>
          <w:lang w:val="en-US"/>
        </w:rPr>
        <w:t>J</w:t>
      </w:r>
      <w:r w:rsidRPr="00BC73BB">
        <w:rPr>
          <w:rFonts w:ascii="Times New Roman" w:hAnsi="Times New Roman"/>
          <w:sz w:val="28"/>
          <w:szCs w:val="28"/>
          <w:lang w:val="uk-UA"/>
        </w:rPr>
        <w:t xml:space="preserve">. </w:t>
      </w:r>
      <w:r w:rsidRPr="00BC73BB">
        <w:rPr>
          <w:rFonts w:ascii="Times New Roman" w:hAnsi="Times New Roman"/>
          <w:sz w:val="28"/>
          <w:szCs w:val="28"/>
          <w:lang w:val="en-US"/>
        </w:rPr>
        <w:t>Tangetal. Mol. Cell. Biochem. 2012. Vol. 365. P. 363</w:t>
      </w:r>
      <w:r w:rsidRPr="00BC73BB">
        <w:rPr>
          <w:rFonts w:ascii="Times New Roman" w:hAnsi="Times New Roman"/>
          <w:sz w:val="28"/>
          <w:szCs w:val="28"/>
          <w:shd w:val="clear" w:color="auto" w:fill="FFFFFF"/>
          <w:lang w:val="en-US"/>
        </w:rPr>
        <w:t>–</w:t>
      </w:r>
      <w:r w:rsidRPr="00BC73BB">
        <w:rPr>
          <w:rFonts w:ascii="Times New Roman" w:hAnsi="Times New Roman"/>
          <w:sz w:val="28"/>
          <w:szCs w:val="28"/>
          <w:lang w:val="en-US"/>
        </w:rPr>
        <w:t>377.</w:t>
      </w:r>
    </w:p>
    <w:p w:rsidR="001F0A71" w:rsidRPr="00BC73BB" w:rsidRDefault="001F0A71" w:rsidP="00E1086D">
      <w:pPr>
        <w:pStyle w:val="a5"/>
        <w:widowControl w:val="0"/>
        <w:numPr>
          <w:ilvl w:val="0"/>
          <w:numId w:val="34"/>
        </w:numPr>
        <w:tabs>
          <w:tab w:val="left" w:pos="142"/>
          <w:tab w:val="left" w:pos="851"/>
          <w:tab w:val="left" w:pos="993"/>
        </w:tabs>
        <w:spacing w:after="0" w:line="360" w:lineRule="auto"/>
        <w:ind w:left="0" w:right="-1" w:firstLine="284"/>
        <w:jc w:val="both"/>
        <w:rPr>
          <w:rFonts w:ascii="Times New Roman" w:hAnsi="Times New Roman"/>
          <w:sz w:val="28"/>
          <w:szCs w:val="28"/>
          <w:lang w:val="uk-UA"/>
        </w:rPr>
      </w:pPr>
      <w:r w:rsidRPr="00BC73BB">
        <w:rPr>
          <w:rFonts w:ascii="Times New Roman" w:hAnsi="Times New Roman"/>
          <w:sz w:val="28"/>
          <w:szCs w:val="28"/>
          <w:lang w:val="uk-UA"/>
        </w:rPr>
        <w:t xml:space="preserve">Pei J., You X., Fu Q. Inflammationinthepathogenesisofischemicstroke. Front. Biosc. (LandmarkEd). 2015. </w:t>
      </w:r>
      <w:r w:rsidRPr="00BC73BB">
        <w:rPr>
          <w:rFonts w:ascii="Times New Roman" w:hAnsi="Times New Roman"/>
          <w:sz w:val="28"/>
          <w:szCs w:val="28"/>
          <w:lang w:val="en-US"/>
        </w:rPr>
        <w:t xml:space="preserve">Vol. </w:t>
      </w:r>
      <w:r w:rsidRPr="00BC73BB">
        <w:rPr>
          <w:rFonts w:ascii="Times New Roman" w:hAnsi="Times New Roman"/>
          <w:sz w:val="28"/>
          <w:szCs w:val="28"/>
          <w:lang w:val="uk-UA"/>
        </w:rPr>
        <w:t>1(20). Р. 772–783.</w:t>
      </w:r>
    </w:p>
    <w:p w:rsidR="001F0A71" w:rsidRPr="00BC73BB" w:rsidRDefault="001F0A71" w:rsidP="00E1086D">
      <w:pPr>
        <w:pStyle w:val="a8"/>
        <w:numPr>
          <w:ilvl w:val="0"/>
          <w:numId w:val="34"/>
        </w:numPr>
        <w:shd w:val="clear" w:color="auto" w:fill="FFFFFF"/>
        <w:tabs>
          <w:tab w:val="left" w:pos="851"/>
          <w:tab w:val="left" w:pos="993"/>
        </w:tabs>
        <w:spacing w:before="0" w:beforeAutospacing="0" w:after="0" w:afterAutospacing="0" w:line="360" w:lineRule="auto"/>
        <w:ind w:left="0" w:firstLine="284"/>
        <w:jc w:val="both"/>
        <w:rPr>
          <w:sz w:val="28"/>
          <w:szCs w:val="28"/>
          <w:lang w:val="en-US"/>
        </w:rPr>
      </w:pPr>
      <w:r w:rsidRPr="00BC73BB">
        <w:rPr>
          <w:sz w:val="28"/>
          <w:szCs w:val="28"/>
          <w:lang w:val="en-US"/>
        </w:rPr>
        <w:t>Tso N-Methyl-D-Aspartate (NMDA)-Induced Apoptosis in Rat Retina / T. Lam Tim etal. Investig</w:t>
      </w:r>
      <w:r w:rsidRPr="00BC73BB">
        <w:rPr>
          <w:sz w:val="28"/>
          <w:szCs w:val="28"/>
        </w:rPr>
        <w:t>.</w:t>
      </w:r>
      <w:r w:rsidRPr="00BC73BB">
        <w:rPr>
          <w:sz w:val="28"/>
          <w:szCs w:val="28"/>
          <w:lang w:val="en-US"/>
        </w:rPr>
        <w:t xml:space="preserve">Ophthalmol. Vis. Sc. 1999. Vol. 40. </w:t>
      </w:r>
      <w:r w:rsidRPr="00BC73BB">
        <w:rPr>
          <w:sz w:val="28"/>
          <w:szCs w:val="28"/>
        </w:rPr>
        <w:t>Р</w:t>
      </w:r>
      <w:r w:rsidRPr="00BC73BB">
        <w:rPr>
          <w:sz w:val="28"/>
          <w:szCs w:val="28"/>
          <w:lang w:val="en-US"/>
        </w:rPr>
        <w:t>. 2391</w:t>
      </w:r>
      <w:r w:rsidRPr="00BC73BB">
        <w:rPr>
          <w:sz w:val="28"/>
          <w:szCs w:val="28"/>
        </w:rPr>
        <w:t>–</w:t>
      </w:r>
      <w:r w:rsidRPr="00BC73BB">
        <w:rPr>
          <w:sz w:val="28"/>
          <w:szCs w:val="28"/>
          <w:lang w:val="en-US"/>
        </w:rPr>
        <w:t>2397.</w:t>
      </w:r>
    </w:p>
    <w:p w:rsidR="001F0A71" w:rsidRPr="00BC73BB" w:rsidRDefault="001F0A71" w:rsidP="00E1086D">
      <w:pPr>
        <w:pStyle w:val="a8"/>
        <w:numPr>
          <w:ilvl w:val="0"/>
          <w:numId w:val="34"/>
        </w:numPr>
        <w:shd w:val="clear" w:color="auto" w:fill="FFFFFF"/>
        <w:tabs>
          <w:tab w:val="left" w:pos="851"/>
          <w:tab w:val="left" w:pos="993"/>
        </w:tabs>
        <w:spacing w:before="0" w:beforeAutospacing="0" w:after="0" w:afterAutospacing="0" w:line="360" w:lineRule="auto"/>
        <w:ind w:left="0" w:firstLine="284"/>
        <w:jc w:val="both"/>
        <w:rPr>
          <w:sz w:val="28"/>
          <w:szCs w:val="28"/>
        </w:rPr>
      </w:pPr>
      <w:r w:rsidRPr="00BC73BB">
        <w:rPr>
          <w:sz w:val="28"/>
          <w:szCs w:val="28"/>
          <w:lang w:val="en-US"/>
        </w:rPr>
        <w:t>FisherM</w:t>
      </w:r>
      <w:r w:rsidRPr="00BC73BB">
        <w:rPr>
          <w:sz w:val="28"/>
          <w:szCs w:val="28"/>
        </w:rPr>
        <w:t xml:space="preserve">., </w:t>
      </w:r>
      <w:r w:rsidRPr="00BC73BB">
        <w:rPr>
          <w:sz w:val="28"/>
          <w:szCs w:val="28"/>
          <w:lang w:val="en-US"/>
        </w:rPr>
        <w:t>YakovlevA</w:t>
      </w:r>
      <w:r w:rsidRPr="00BC73BB">
        <w:rPr>
          <w:sz w:val="28"/>
          <w:szCs w:val="28"/>
        </w:rPr>
        <w:t xml:space="preserve">. </w:t>
      </w:r>
      <w:r w:rsidRPr="00BC73BB">
        <w:rPr>
          <w:sz w:val="28"/>
          <w:szCs w:val="28"/>
          <w:lang w:val="en-US"/>
        </w:rPr>
        <w:t>G</w:t>
      </w:r>
      <w:r w:rsidRPr="00BC73BB">
        <w:rPr>
          <w:sz w:val="28"/>
          <w:szCs w:val="28"/>
        </w:rPr>
        <w:t xml:space="preserve">., </w:t>
      </w:r>
      <w:r w:rsidRPr="00BC73BB">
        <w:rPr>
          <w:sz w:val="28"/>
          <w:szCs w:val="28"/>
          <w:lang w:val="en-US"/>
        </w:rPr>
        <w:t>FadenA</w:t>
      </w:r>
      <w:r w:rsidRPr="00BC73BB">
        <w:rPr>
          <w:sz w:val="28"/>
          <w:szCs w:val="28"/>
        </w:rPr>
        <w:t xml:space="preserve">. </w:t>
      </w:r>
      <w:r w:rsidRPr="00BC73BB">
        <w:rPr>
          <w:sz w:val="28"/>
          <w:szCs w:val="28"/>
          <w:lang w:val="en-US"/>
        </w:rPr>
        <w:t>I</w:t>
      </w:r>
      <w:r w:rsidRPr="00BC73BB">
        <w:rPr>
          <w:sz w:val="28"/>
          <w:szCs w:val="28"/>
        </w:rPr>
        <w:t xml:space="preserve">. </w:t>
      </w:r>
      <w:r w:rsidRPr="00BC73BB">
        <w:rPr>
          <w:sz w:val="28"/>
          <w:szCs w:val="28"/>
          <w:lang w:val="en-US"/>
        </w:rPr>
        <w:t>Mechanismsofneuralcelldeath</w:t>
      </w:r>
      <w:r w:rsidRPr="00BC73BB">
        <w:rPr>
          <w:sz w:val="28"/>
          <w:szCs w:val="28"/>
        </w:rPr>
        <w:t xml:space="preserve">: </w:t>
      </w:r>
      <w:r w:rsidRPr="00BC73BB">
        <w:rPr>
          <w:sz w:val="28"/>
          <w:szCs w:val="28"/>
          <w:lang w:val="en-US"/>
        </w:rPr>
        <w:t>implicationsfordevelopmentofneuroprotectivetreatmentstrategies.NeuroRx</w:t>
      </w:r>
      <w:r w:rsidRPr="00BC73BB">
        <w:rPr>
          <w:sz w:val="28"/>
          <w:szCs w:val="28"/>
        </w:rPr>
        <w:t xml:space="preserve">. 2004. </w:t>
      </w:r>
      <w:r w:rsidRPr="00BC73BB">
        <w:rPr>
          <w:sz w:val="28"/>
          <w:szCs w:val="28"/>
          <w:lang w:val="en-US"/>
        </w:rPr>
        <w:t>Vol</w:t>
      </w:r>
      <w:r w:rsidRPr="00BC73BB">
        <w:rPr>
          <w:sz w:val="28"/>
          <w:szCs w:val="28"/>
        </w:rPr>
        <w:t xml:space="preserve">. 1. </w:t>
      </w:r>
      <w:r w:rsidRPr="00BC73BB">
        <w:rPr>
          <w:sz w:val="28"/>
          <w:szCs w:val="28"/>
          <w:lang w:val="en-US"/>
        </w:rPr>
        <w:t>P</w:t>
      </w:r>
      <w:r w:rsidRPr="00BC73BB">
        <w:rPr>
          <w:sz w:val="28"/>
          <w:szCs w:val="28"/>
        </w:rPr>
        <w:t>. 5–16.</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en-US"/>
        </w:rPr>
        <w:t>NADPH oxidase is the primary source of superoxide induced by NMDA receptor activation / A. M. Brennan et al. Nat Neurosci. 2009. Vol. 12. P. 857–863.</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sz w:val="28"/>
          <w:szCs w:val="28"/>
          <w:lang w:val="en-US"/>
        </w:rPr>
        <w:t>NMDA receptor activation increases free radical production through nitric oxide and Nox2 / H. Girouard et al. J. Neurosc. 2009. Vol. 29. P</w:t>
      </w:r>
      <w:r w:rsidRPr="00BC73BB">
        <w:rPr>
          <w:rFonts w:ascii="Times New Roman" w:hAnsi="Times New Roman"/>
          <w:sz w:val="28"/>
          <w:szCs w:val="28"/>
        </w:rPr>
        <w:t>. 2545–2552.</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Шведський В. В., Штриголь С. Ю., Ходаківський О. А. Сучасна церебропротекторна терапія гострих порушень мозкового кровообігу при цукровому діабеті та шляхи її оптимізації. Клін. фарм. 2011. Т.15, № 2. С. 7</w:t>
      </w:r>
      <w:r w:rsidRPr="00BC73BB">
        <w:rPr>
          <w:rFonts w:ascii="Times New Roman" w:hAnsi="Times New Roman"/>
          <w:sz w:val="28"/>
          <w:szCs w:val="28"/>
        </w:rPr>
        <w:t>–</w:t>
      </w:r>
      <w:r w:rsidRPr="00BC73BB">
        <w:rPr>
          <w:rFonts w:ascii="Times New Roman" w:hAnsi="Times New Roman"/>
          <w:sz w:val="28"/>
          <w:szCs w:val="28"/>
          <w:lang w:val="uk-UA"/>
        </w:rPr>
        <w:t>12.</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bCs/>
          <w:sz w:val="28"/>
          <w:szCs w:val="28"/>
          <w:bdr w:val="none" w:sz="0" w:space="0" w:color="auto" w:frame="1"/>
          <w:lang w:val="uk-UA"/>
        </w:rPr>
      </w:pPr>
      <w:r w:rsidRPr="00BC73BB">
        <w:rPr>
          <w:rFonts w:ascii="Times New Roman" w:hAnsi="Times New Roman"/>
          <w:bCs/>
          <w:sz w:val="28"/>
          <w:szCs w:val="28"/>
          <w:bdr w:val="none" w:sz="0" w:space="0" w:color="auto" w:frame="1"/>
          <w:lang w:val="uk-UA"/>
        </w:rPr>
        <w:t xml:space="preserve">Галушко О. А., Тріщинська М. А. </w:t>
      </w:r>
      <w:hyperlink r:id="rId71" w:history="1">
        <w:r w:rsidRPr="00BC73BB">
          <w:rPr>
            <w:rFonts w:ascii="Times New Roman" w:hAnsi="Times New Roman"/>
            <w:bCs/>
            <w:sz w:val="28"/>
            <w:szCs w:val="28"/>
            <w:bdr w:val="none" w:sz="0" w:space="0" w:color="auto" w:frame="1"/>
            <w:lang w:val="uk-UA"/>
          </w:rPr>
          <w:t>Гострий інсульт у жінок: особливості виявлення та корекції вуглеводних порушень</w:t>
        </w:r>
      </w:hyperlink>
      <w:r w:rsidRPr="00BC73BB">
        <w:rPr>
          <w:rFonts w:ascii="Times New Roman" w:hAnsi="Times New Roman"/>
          <w:bCs/>
          <w:sz w:val="28"/>
          <w:szCs w:val="28"/>
          <w:bdr w:val="none" w:sz="0" w:space="0" w:color="auto" w:frame="1"/>
          <w:lang w:val="uk-UA"/>
        </w:rPr>
        <w:t xml:space="preserve"> [Електрона публікація]//Мед. неотлож. состояний. 2019. № 6 (101). URL: </w:t>
      </w:r>
      <w:hyperlink r:id="rId72" w:history="1">
        <w:r w:rsidRPr="00BC73BB">
          <w:rPr>
            <w:rFonts w:ascii="Times New Roman" w:hAnsi="Times New Roman"/>
            <w:bCs/>
            <w:sz w:val="28"/>
            <w:szCs w:val="28"/>
            <w:bdr w:val="none" w:sz="0" w:space="0" w:color="auto" w:frame="1"/>
            <w:lang w:val="uk-UA"/>
          </w:rPr>
          <w:t>https://doi.org/10.22141/2224-0586.6.101.2019.179599</w:t>
        </w:r>
      </w:hyperlink>
      <w:r w:rsidRPr="00BC73BB">
        <w:rPr>
          <w:rFonts w:ascii="Times New Roman" w:hAnsi="Times New Roman"/>
          <w:bCs/>
          <w:sz w:val="28"/>
          <w:szCs w:val="28"/>
          <w:bdr w:val="none" w:sz="0" w:space="0" w:color="auto" w:frame="1"/>
          <w:lang w:val="uk-UA"/>
        </w:rPr>
        <w:t xml:space="preserve"> (дата звернення: 04.09.2020).</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rPr>
        <w:lastRenderedPageBreak/>
        <w:t>Максимова М. Ю., Комелькова Л. В., Охтова Ф. Р. Факторы межклеточного взаимодействия при ишемическом инсульте</w:t>
      </w:r>
      <w:r w:rsidRPr="00BC73BB">
        <w:rPr>
          <w:rFonts w:ascii="Times New Roman" w:hAnsi="Times New Roman"/>
          <w:sz w:val="28"/>
          <w:szCs w:val="28"/>
          <w:lang w:val="uk-UA"/>
        </w:rPr>
        <w:t xml:space="preserve">. </w:t>
      </w:r>
      <w:r w:rsidRPr="00BC73BB">
        <w:rPr>
          <w:rFonts w:ascii="Times New Roman" w:hAnsi="Times New Roman"/>
          <w:sz w:val="28"/>
          <w:szCs w:val="28"/>
          <w:lang w:val="uk-UA" w:eastAsia="uk-UA"/>
        </w:rPr>
        <w:t xml:space="preserve">Журн. неврол. и психиатр. </w:t>
      </w:r>
      <w:r w:rsidRPr="00BC73BB">
        <w:rPr>
          <w:rFonts w:ascii="Times New Roman" w:hAnsi="Times New Roman"/>
          <w:sz w:val="28"/>
          <w:szCs w:val="28"/>
        </w:rPr>
        <w:t>им. С.С. Корсакова</w:t>
      </w:r>
      <w:r w:rsidRPr="00BC73BB">
        <w:rPr>
          <w:rFonts w:ascii="Times New Roman" w:hAnsi="Times New Roman"/>
          <w:sz w:val="28"/>
          <w:szCs w:val="28"/>
          <w:lang w:val="uk-UA"/>
        </w:rPr>
        <w:t>. 2014. Т. 114, № 2. С. 15</w:t>
      </w:r>
      <w:r w:rsidRPr="00BC73BB">
        <w:rPr>
          <w:rFonts w:ascii="Times New Roman" w:hAnsi="Times New Roman"/>
          <w:sz w:val="28"/>
          <w:szCs w:val="28"/>
        </w:rPr>
        <w:t>–</w:t>
      </w:r>
      <w:r w:rsidRPr="00BC73BB">
        <w:rPr>
          <w:rFonts w:ascii="Times New Roman" w:hAnsi="Times New Roman"/>
          <w:sz w:val="28"/>
          <w:szCs w:val="28"/>
          <w:lang w:val="uk-UA"/>
        </w:rPr>
        <w:t>20.</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Зозуля І. С., Зозуля А. І., Волосовець А. О. Деякі напрямки поліпшення надання медичної допомоги при мозковому інсульті. Укр. вісн. психоневр. 2017. Т. 25, вип. 1. С. 84</w:t>
      </w:r>
      <w:r w:rsidRPr="00BC73BB">
        <w:rPr>
          <w:rFonts w:ascii="Times New Roman" w:hAnsi="Times New Roman"/>
          <w:sz w:val="28"/>
          <w:szCs w:val="28"/>
        </w:rPr>
        <w:t>–</w:t>
      </w:r>
      <w:r w:rsidRPr="00BC73BB">
        <w:rPr>
          <w:rFonts w:ascii="Times New Roman" w:hAnsi="Times New Roman"/>
          <w:sz w:val="28"/>
          <w:szCs w:val="28"/>
          <w:lang w:val="uk-UA"/>
        </w:rPr>
        <w:t>85.</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Зозуля І. С., Зозуля А. І. Лікування хворих на інсульт. Укр. мед. часопис. 2015. № 1. С. 36</w:t>
      </w:r>
      <w:r w:rsidRPr="00BC73BB">
        <w:rPr>
          <w:rFonts w:ascii="Times New Roman" w:hAnsi="Times New Roman"/>
          <w:sz w:val="28"/>
          <w:szCs w:val="28"/>
        </w:rPr>
        <w:t>–</w:t>
      </w:r>
      <w:r w:rsidRPr="00BC73BB">
        <w:rPr>
          <w:rFonts w:ascii="Times New Roman" w:hAnsi="Times New Roman"/>
          <w:sz w:val="28"/>
          <w:szCs w:val="28"/>
          <w:lang w:val="uk-UA"/>
        </w:rPr>
        <w:t>39.</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Міщенко Т. С. Епідеміологія цереброваскулярних захворювань та організація допомоги хворим з мозковим інсультом в Україні. Укр. вісн. психоневр. 2017. Т. 1, № 90. С. 22</w:t>
      </w:r>
      <w:r w:rsidRPr="00BC73BB">
        <w:rPr>
          <w:rFonts w:ascii="Times New Roman" w:hAnsi="Times New Roman"/>
          <w:sz w:val="28"/>
          <w:szCs w:val="28"/>
        </w:rPr>
        <w:t>–</w:t>
      </w:r>
      <w:r w:rsidRPr="00BC73BB">
        <w:rPr>
          <w:rFonts w:ascii="Times New Roman" w:hAnsi="Times New Roman"/>
          <w:sz w:val="28"/>
          <w:szCs w:val="28"/>
          <w:lang w:val="uk-UA"/>
        </w:rPr>
        <w:t>24.</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rPr>
        <w:t>Мойбенко А. А., Досенко В. Е., Пархоменко А. Н. Эндогенные механизмы кардиопротекции как основа патогенетической терапии заболеваний сердца. К. : Наукова думка, 2008. 514 с.</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Доклінічне вивчення специфічної активності потенційних лікарських засобів первинної та вторинної нейропротекції: методичні рекомендації / Чекман І. С. та ін. К : Держ. експерт. центр МОЗУ, 2016. 93 с.</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Комплекснаянейроцитопротекция в аспекте фармакодинамики / В. В. Афанасьев и др. </w:t>
      </w:r>
      <w:r w:rsidRPr="00BC73BB">
        <w:rPr>
          <w:rFonts w:ascii="Times New Roman" w:hAnsi="Times New Roman"/>
          <w:sz w:val="28"/>
          <w:szCs w:val="28"/>
        </w:rPr>
        <w:t xml:space="preserve">Журн. неврол. им. Н. Б. Маньковского. 2017. </w:t>
      </w:r>
      <w:r w:rsidRPr="00BC73BB">
        <w:rPr>
          <w:rFonts w:ascii="Times New Roman" w:hAnsi="Times New Roman"/>
          <w:sz w:val="28"/>
          <w:szCs w:val="28"/>
          <w:lang w:val="uk-UA"/>
        </w:rPr>
        <w:t>Т. 5, № 3</w:t>
      </w:r>
      <w:r w:rsidRPr="00BC73BB">
        <w:rPr>
          <w:rFonts w:ascii="Times New Roman" w:hAnsi="Times New Roman"/>
          <w:sz w:val="28"/>
          <w:szCs w:val="28"/>
        </w:rPr>
        <w:t>–</w:t>
      </w:r>
      <w:r w:rsidRPr="00BC73BB">
        <w:rPr>
          <w:rFonts w:ascii="Times New Roman" w:hAnsi="Times New Roman"/>
          <w:sz w:val="28"/>
          <w:szCs w:val="28"/>
          <w:lang w:val="uk-UA"/>
        </w:rPr>
        <w:t>4. С. 13</w:t>
      </w:r>
      <w:r w:rsidRPr="00BC73BB">
        <w:rPr>
          <w:rFonts w:ascii="Times New Roman" w:hAnsi="Times New Roman"/>
          <w:sz w:val="28"/>
          <w:szCs w:val="28"/>
        </w:rPr>
        <w:t>–</w:t>
      </w:r>
      <w:r w:rsidRPr="00BC73BB">
        <w:rPr>
          <w:rFonts w:ascii="Times New Roman" w:hAnsi="Times New Roman"/>
          <w:sz w:val="28"/>
          <w:szCs w:val="28"/>
          <w:lang w:val="uk-UA"/>
        </w:rPr>
        <w:t xml:space="preserve">27. </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Style w:val="ac"/>
          <w:rFonts w:ascii="Times New Roman" w:eastAsiaTheme="majorEastAsia" w:hAnsi="Times New Roman"/>
          <w:color w:val="auto"/>
          <w:sz w:val="28"/>
          <w:szCs w:val="28"/>
          <w:u w:val="none"/>
          <w:lang w:val="uk-UA"/>
        </w:rPr>
      </w:pPr>
      <w:r w:rsidRPr="00BC73BB">
        <w:rPr>
          <w:rFonts w:ascii="Times New Roman" w:hAnsi="Times New Roman"/>
          <w:sz w:val="28"/>
          <w:szCs w:val="28"/>
          <w:lang w:val="uk-UA"/>
        </w:rPr>
        <w:t>Глутаматнаяэксайтотоксичность и окислительныйстресс при экспериментальном тромбозе сосудовсетчатки / А. В. Колесников и др. Нейрохим. 2016. Т. 33, № 2. С. 1</w:t>
      </w:r>
      <w:r w:rsidRPr="00BC73BB">
        <w:rPr>
          <w:rFonts w:ascii="Times New Roman" w:hAnsi="Times New Roman"/>
          <w:sz w:val="28"/>
          <w:szCs w:val="28"/>
        </w:rPr>
        <w:t>–</w:t>
      </w:r>
      <w:r w:rsidRPr="00BC73BB">
        <w:rPr>
          <w:rFonts w:ascii="Times New Roman" w:hAnsi="Times New Roman"/>
          <w:sz w:val="28"/>
          <w:szCs w:val="28"/>
          <w:lang w:val="uk-UA"/>
        </w:rPr>
        <w:t>5.</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Нейропатії: діагностика, диференційна діагностика, лікування / І. С. Зозуля та ін. Укр. мед. часопис. </w:t>
      </w:r>
      <w:r w:rsidRPr="00BC73BB">
        <w:rPr>
          <w:rFonts w:ascii="Times New Roman" w:hAnsi="Times New Roman"/>
          <w:sz w:val="28"/>
          <w:szCs w:val="28"/>
        </w:rPr>
        <w:t xml:space="preserve">2019. </w:t>
      </w:r>
      <w:r w:rsidRPr="00BC73BB">
        <w:rPr>
          <w:rFonts w:ascii="Times New Roman" w:hAnsi="Times New Roman"/>
          <w:sz w:val="28"/>
          <w:szCs w:val="28"/>
          <w:lang w:val="uk-UA"/>
        </w:rPr>
        <w:t>Т. 2, № 2 (130), С. 1</w:t>
      </w:r>
      <w:r w:rsidRPr="00BC73BB">
        <w:rPr>
          <w:rFonts w:ascii="Times New Roman" w:hAnsi="Times New Roman"/>
          <w:sz w:val="28"/>
          <w:szCs w:val="28"/>
        </w:rPr>
        <w:t>–</w:t>
      </w:r>
      <w:r w:rsidRPr="00BC73BB">
        <w:rPr>
          <w:rFonts w:ascii="Times New Roman" w:hAnsi="Times New Roman"/>
          <w:sz w:val="28"/>
          <w:szCs w:val="28"/>
          <w:lang w:val="uk-UA"/>
        </w:rPr>
        <w:t>3.</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en-US"/>
        </w:rPr>
        <w:t>McGeeM</w:t>
      </w:r>
      <w:r w:rsidRPr="00BC73BB">
        <w:rPr>
          <w:rFonts w:ascii="Times New Roman" w:hAnsi="Times New Roman"/>
          <w:sz w:val="28"/>
          <w:szCs w:val="28"/>
          <w:lang w:val="uk-UA"/>
        </w:rPr>
        <w:t xml:space="preserve">. </w:t>
      </w:r>
      <w:r w:rsidRPr="00BC73BB">
        <w:rPr>
          <w:rFonts w:ascii="Times New Roman" w:hAnsi="Times New Roman"/>
          <w:sz w:val="28"/>
          <w:szCs w:val="28"/>
          <w:lang w:val="en-US"/>
        </w:rPr>
        <w:t>A</w:t>
      </w:r>
      <w:r w:rsidRPr="00BC73BB">
        <w:rPr>
          <w:rFonts w:ascii="Times New Roman" w:hAnsi="Times New Roman"/>
          <w:sz w:val="28"/>
          <w:szCs w:val="28"/>
          <w:lang w:val="uk-UA"/>
        </w:rPr>
        <w:t xml:space="preserve">., </w:t>
      </w:r>
      <w:r w:rsidRPr="00BC73BB">
        <w:rPr>
          <w:rFonts w:ascii="Times New Roman" w:hAnsi="Times New Roman"/>
          <w:sz w:val="28"/>
          <w:szCs w:val="28"/>
          <w:lang w:val="en-US"/>
        </w:rPr>
        <w:t>Abdel</w:t>
      </w:r>
      <w:r w:rsidRPr="00BC73BB">
        <w:rPr>
          <w:rFonts w:ascii="Times New Roman" w:hAnsi="Times New Roman"/>
          <w:sz w:val="28"/>
          <w:szCs w:val="28"/>
          <w:lang w:val="uk-UA"/>
        </w:rPr>
        <w:t>-</w:t>
      </w:r>
      <w:r w:rsidRPr="00BC73BB">
        <w:rPr>
          <w:rFonts w:ascii="Times New Roman" w:hAnsi="Times New Roman"/>
          <w:sz w:val="28"/>
          <w:szCs w:val="28"/>
          <w:lang w:val="en-US"/>
        </w:rPr>
        <w:t>RahmanA</w:t>
      </w:r>
      <w:r w:rsidRPr="00BC73BB">
        <w:rPr>
          <w:rFonts w:ascii="Times New Roman" w:hAnsi="Times New Roman"/>
          <w:sz w:val="28"/>
          <w:szCs w:val="28"/>
          <w:lang w:val="uk-UA"/>
        </w:rPr>
        <w:t xml:space="preserve">. </w:t>
      </w:r>
      <w:r w:rsidRPr="00BC73BB">
        <w:rPr>
          <w:rFonts w:ascii="Times New Roman" w:hAnsi="Times New Roman"/>
          <w:sz w:val="28"/>
          <w:szCs w:val="28"/>
          <w:lang w:val="en-US"/>
        </w:rPr>
        <w:t>A</w:t>
      </w:r>
      <w:r w:rsidRPr="00BC73BB">
        <w:rPr>
          <w:rFonts w:ascii="Times New Roman" w:hAnsi="Times New Roman"/>
          <w:sz w:val="28"/>
          <w:szCs w:val="28"/>
          <w:lang w:val="uk-UA"/>
        </w:rPr>
        <w:t xml:space="preserve">. </w:t>
      </w:r>
      <w:r w:rsidRPr="00BC73BB">
        <w:rPr>
          <w:rFonts w:ascii="Times New Roman" w:hAnsi="Times New Roman"/>
          <w:sz w:val="28"/>
          <w:szCs w:val="28"/>
          <w:lang w:val="en-US"/>
        </w:rPr>
        <w:t>N</w:t>
      </w:r>
      <w:r w:rsidRPr="00BC73BB">
        <w:rPr>
          <w:rFonts w:ascii="Times New Roman" w:hAnsi="Times New Roman"/>
          <w:sz w:val="28"/>
          <w:szCs w:val="28"/>
          <w:lang w:val="uk-UA"/>
        </w:rPr>
        <w:t>-</w:t>
      </w:r>
      <w:r w:rsidRPr="00BC73BB">
        <w:rPr>
          <w:rFonts w:ascii="Times New Roman" w:hAnsi="Times New Roman"/>
          <w:sz w:val="28"/>
          <w:szCs w:val="28"/>
          <w:lang w:val="en-US"/>
        </w:rPr>
        <w:t>Methyl</w:t>
      </w:r>
      <w:r w:rsidRPr="00BC73BB">
        <w:rPr>
          <w:rFonts w:ascii="Times New Roman" w:hAnsi="Times New Roman"/>
          <w:sz w:val="28"/>
          <w:szCs w:val="28"/>
          <w:lang w:val="uk-UA"/>
        </w:rPr>
        <w:t>-</w:t>
      </w:r>
      <w:r w:rsidRPr="00BC73BB">
        <w:rPr>
          <w:rFonts w:ascii="Times New Roman" w:hAnsi="Times New Roman"/>
          <w:sz w:val="28"/>
          <w:szCs w:val="28"/>
          <w:lang w:val="en-US"/>
        </w:rPr>
        <w:t>D</w:t>
      </w:r>
      <w:r w:rsidRPr="00BC73BB">
        <w:rPr>
          <w:rFonts w:ascii="Times New Roman" w:hAnsi="Times New Roman"/>
          <w:sz w:val="28"/>
          <w:szCs w:val="28"/>
          <w:lang w:val="uk-UA"/>
        </w:rPr>
        <w:t>-</w:t>
      </w:r>
      <w:r w:rsidRPr="00BC73BB">
        <w:rPr>
          <w:rFonts w:ascii="Times New Roman" w:hAnsi="Times New Roman"/>
          <w:sz w:val="28"/>
          <w:szCs w:val="28"/>
          <w:lang w:val="en-US"/>
        </w:rPr>
        <w:t>AspartateReceptorSignalingandFunctioninCardiovascularTissues</w:t>
      </w:r>
      <w:r w:rsidRPr="00BC73BB">
        <w:rPr>
          <w:rFonts w:ascii="Times New Roman" w:hAnsi="Times New Roman"/>
          <w:sz w:val="28"/>
          <w:szCs w:val="28"/>
          <w:lang w:val="uk-UA"/>
        </w:rPr>
        <w:t xml:space="preserve">. </w:t>
      </w:r>
      <w:r w:rsidRPr="00BC73BB">
        <w:rPr>
          <w:rFonts w:ascii="Times New Roman" w:hAnsi="Times New Roman"/>
          <w:sz w:val="28"/>
          <w:szCs w:val="28"/>
          <w:lang w:val="en-US"/>
        </w:rPr>
        <w:t>J</w:t>
      </w:r>
      <w:r w:rsidRPr="00BC73BB">
        <w:rPr>
          <w:rFonts w:ascii="Times New Roman" w:hAnsi="Times New Roman"/>
          <w:sz w:val="28"/>
          <w:szCs w:val="28"/>
          <w:lang w:val="uk-UA"/>
        </w:rPr>
        <w:t xml:space="preserve"> .</w:t>
      </w:r>
      <w:r w:rsidRPr="00BC73BB">
        <w:rPr>
          <w:rFonts w:ascii="Times New Roman" w:hAnsi="Times New Roman"/>
          <w:sz w:val="28"/>
          <w:szCs w:val="28"/>
          <w:lang w:val="en-US"/>
        </w:rPr>
        <w:t>Cardiovasc</w:t>
      </w:r>
      <w:r w:rsidRPr="00BC73BB">
        <w:rPr>
          <w:rFonts w:ascii="Times New Roman" w:hAnsi="Times New Roman"/>
          <w:sz w:val="28"/>
          <w:szCs w:val="28"/>
          <w:lang w:val="uk-UA"/>
        </w:rPr>
        <w:t xml:space="preserve">. </w:t>
      </w:r>
      <w:r w:rsidRPr="00BC73BB">
        <w:rPr>
          <w:rFonts w:ascii="Times New Roman" w:hAnsi="Times New Roman"/>
          <w:sz w:val="28"/>
          <w:szCs w:val="28"/>
          <w:lang w:val="en-US"/>
        </w:rPr>
        <w:t>Pharmacol</w:t>
      </w:r>
      <w:r w:rsidRPr="00BC73BB">
        <w:rPr>
          <w:rFonts w:ascii="Times New Roman" w:hAnsi="Times New Roman"/>
          <w:sz w:val="28"/>
          <w:szCs w:val="28"/>
          <w:lang w:val="uk-UA"/>
        </w:rPr>
        <w:t xml:space="preserve">. </w:t>
      </w:r>
      <w:r w:rsidRPr="00BC73BB">
        <w:rPr>
          <w:rFonts w:ascii="Times New Roman" w:hAnsi="Times New Roman"/>
          <w:sz w:val="28"/>
          <w:szCs w:val="28"/>
          <w:lang w:val="en-US"/>
        </w:rPr>
        <w:t xml:space="preserve">2016. Vol.68(2). </w:t>
      </w:r>
      <w:r w:rsidRPr="00BC73BB">
        <w:rPr>
          <w:rFonts w:ascii="Times New Roman" w:hAnsi="Times New Roman"/>
          <w:sz w:val="28"/>
          <w:szCs w:val="28"/>
          <w:lang w:val="uk-UA"/>
        </w:rPr>
        <w:t xml:space="preserve">Р. </w:t>
      </w:r>
      <w:r w:rsidRPr="00BC73BB">
        <w:rPr>
          <w:rFonts w:ascii="Times New Roman" w:hAnsi="Times New Roman"/>
          <w:sz w:val="28"/>
          <w:szCs w:val="28"/>
          <w:lang w:val="en-US"/>
        </w:rPr>
        <w:t>97</w:t>
      </w:r>
      <w:r w:rsidRPr="00BC73BB">
        <w:rPr>
          <w:rFonts w:ascii="Times New Roman" w:hAnsi="Times New Roman"/>
          <w:sz w:val="28"/>
          <w:szCs w:val="28"/>
          <w:lang w:val="uk-UA"/>
        </w:rPr>
        <w:t>–</w:t>
      </w:r>
      <w:r w:rsidRPr="00BC73BB">
        <w:rPr>
          <w:rFonts w:ascii="Times New Roman" w:hAnsi="Times New Roman"/>
          <w:sz w:val="28"/>
          <w:szCs w:val="28"/>
          <w:lang w:val="en-US"/>
        </w:rPr>
        <w:t>105</w:t>
      </w:r>
      <w:r w:rsidRPr="00BC73BB">
        <w:rPr>
          <w:rFonts w:ascii="Times New Roman" w:hAnsi="Times New Roman"/>
          <w:sz w:val="28"/>
          <w:szCs w:val="28"/>
          <w:lang w:val="uk-UA"/>
        </w:rPr>
        <w:t>.</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en-US"/>
        </w:rPr>
        <w:t>Trends in admission blood pressure and stroke outcome in patients with acute stroke and transient ischemic attack in a National Acute Stroke registry</w:t>
      </w:r>
      <w:r w:rsidRPr="00BC73BB">
        <w:rPr>
          <w:rFonts w:ascii="Times New Roman" w:hAnsi="Times New Roman"/>
          <w:sz w:val="28"/>
          <w:szCs w:val="28"/>
          <w:lang w:val="uk-UA"/>
        </w:rPr>
        <w:t xml:space="preserve"> /</w:t>
      </w:r>
      <w:r w:rsidRPr="00BC73BB">
        <w:rPr>
          <w:rFonts w:ascii="Times New Roman" w:hAnsi="Times New Roman"/>
          <w:sz w:val="28"/>
          <w:szCs w:val="28"/>
          <w:lang w:val="en-US"/>
        </w:rPr>
        <w:t xml:space="preserve"> S.Koton</w:t>
      </w:r>
      <w:r w:rsidRPr="00BC73BB">
        <w:rPr>
          <w:rFonts w:ascii="Times New Roman" w:hAnsi="Times New Roman"/>
          <w:sz w:val="28"/>
          <w:szCs w:val="28"/>
          <w:lang w:val="uk-UA"/>
        </w:rPr>
        <w:t>etal.</w:t>
      </w:r>
      <w:r w:rsidRPr="00BC73BB">
        <w:rPr>
          <w:rFonts w:ascii="Times New Roman" w:hAnsi="Times New Roman"/>
          <w:sz w:val="28"/>
          <w:szCs w:val="28"/>
          <w:lang w:val="en-US"/>
        </w:rPr>
        <w:t xml:space="preserve"> J</w:t>
      </w:r>
      <w:r w:rsidRPr="00BC73BB">
        <w:rPr>
          <w:rFonts w:ascii="Times New Roman" w:hAnsi="Times New Roman"/>
          <w:sz w:val="28"/>
          <w:szCs w:val="28"/>
          <w:lang w:val="uk-UA"/>
        </w:rPr>
        <w:t>.</w:t>
      </w:r>
      <w:r w:rsidRPr="00BC73BB">
        <w:rPr>
          <w:rFonts w:ascii="Times New Roman" w:hAnsi="Times New Roman"/>
          <w:sz w:val="28"/>
          <w:szCs w:val="28"/>
          <w:lang w:val="en-US"/>
        </w:rPr>
        <w:t>Hyperten. 2016. Vol. 34</w:t>
      </w:r>
      <w:r w:rsidRPr="00BC73BB">
        <w:rPr>
          <w:rFonts w:ascii="Times New Roman" w:hAnsi="Times New Roman"/>
          <w:sz w:val="28"/>
          <w:szCs w:val="28"/>
          <w:lang w:val="uk-UA"/>
        </w:rPr>
        <w:t xml:space="preserve"> (</w:t>
      </w:r>
      <w:r w:rsidRPr="00BC73BB">
        <w:rPr>
          <w:rFonts w:ascii="Times New Roman" w:hAnsi="Times New Roman"/>
          <w:sz w:val="28"/>
          <w:szCs w:val="28"/>
          <w:lang w:val="en-US"/>
        </w:rPr>
        <w:t>2</w:t>
      </w:r>
      <w:r w:rsidRPr="00BC73BB">
        <w:rPr>
          <w:rFonts w:ascii="Times New Roman" w:hAnsi="Times New Roman"/>
          <w:sz w:val="28"/>
          <w:szCs w:val="28"/>
          <w:lang w:val="uk-UA"/>
        </w:rPr>
        <w:t>)</w:t>
      </w:r>
      <w:r w:rsidRPr="00BC73BB">
        <w:rPr>
          <w:rFonts w:ascii="Times New Roman" w:hAnsi="Times New Roman"/>
          <w:sz w:val="28"/>
          <w:szCs w:val="28"/>
          <w:lang w:val="en-US"/>
        </w:rPr>
        <w:t>. P. 316</w:t>
      </w:r>
      <w:r w:rsidRPr="00BC73BB">
        <w:rPr>
          <w:rFonts w:ascii="Times New Roman" w:hAnsi="Times New Roman"/>
          <w:sz w:val="28"/>
          <w:szCs w:val="28"/>
        </w:rPr>
        <w:t>–</w:t>
      </w:r>
      <w:r w:rsidRPr="00BC73BB">
        <w:rPr>
          <w:rFonts w:ascii="Times New Roman" w:hAnsi="Times New Roman"/>
          <w:sz w:val="28"/>
          <w:szCs w:val="28"/>
          <w:lang w:val="en-US"/>
        </w:rPr>
        <w:t>322.</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sz w:val="28"/>
          <w:szCs w:val="28"/>
          <w:lang w:val="en-US"/>
        </w:rPr>
        <w:lastRenderedPageBreak/>
        <w:t>Widimský P., Štětkářová I. Neuro-cardiology or cardio-neurology-a new specialization of the future? VnitrniLekarstvi</w:t>
      </w:r>
      <w:r w:rsidRPr="00BC73BB">
        <w:rPr>
          <w:rFonts w:ascii="Times New Roman" w:hAnsi="Times New Roman"/>
          <w:sz w:val="28"/>
          <w:szCs w:val="28"/>
        </w:rPr>
        <w:t xml:space="preserve">. 2015. </w:t>
      </w:r>
      <w:r w:rsidRPr="00BC73BB">
        <w:rPr>
          <w:rFonts w:ascii="Times New Roman" w:hAnsi="Times New Roman"/>
          <w:sz w:val="28"/>
          <w:szCs w:val="28"/>
          <w:lang w:val="en-US"/>
        </w:rPr>
        <w:t>Vol</w:t>
      </w:r>
      <w:r w:rsidRPr="00BC73BB">
        <w:rPr>
          <w:rFonts w:ascii="Times New Roman" w:hAnsi="Times New Roman"/>
          <w:sz w:val="28"/>
          <w:szCs w:val="28"/>
        </w:rPr>
        <w:t>. 61</w:t>
      </w:r>
      <w:r w:rsidRPr="00BC73BB">
        <w:rPr>
          <w:rFonts w:ascii="Times New Roman" w:hAnsi="Times New Roman"/>
          <w:sz w:val="28"/>
          <w:szCs w:val="28"/>
          <w:lang w:val="uk-UA"/>
        </w:rPr>
        <w:t xml:space="preserve"> (</w:t>
      </w:r>
      <w:r w:rsidRPr="00BC73BB">
        <w:rPr>
          <w:rFonts w:ascii="Times New Roman" w:hAnsi="Times New Roman"/>
          <w:sz w:val="28"/>
          <w:szCs w:val="28"/>
        </w:rPr>
        <w:t>5</w:t>
      </w:r>
      <w:r w:rsidRPr="00BC73BB">
        <w:rPr>
          <w:rFonts w:ascii="Times New Roman" w:hAnsi="Times New Roman"/>
          <w:sz w:val="28"/>
          <w:szCs w:val="28"/>
          <w:lang w:val="uk-UA"/>
        </w:rPr>
        <w:t>)</w:t>
      </w:r>
      <w:r w:rsidRPr="00BC73BB">
        <w:rPr>
          <w:rFonts w:ascii="Times New Roman" w:hAnsi="Times New Roman"/>
          <w:sz w:val="28"/>
          <w:szCs w:val="28"/>
        </w:rPr>
        <w:t xml:space="preserve">. </w:t>
      </w:r>
      <w:r w:rsidRPr="00BC73BB">
        <w:rPr>
          <w:rFonts w:ascii="Times New Roman" w:hAnsi="Times New Roman"/>
          <w:sz w:val="28"/>
          <w:szCs w:val="28"/>
          <w:lang w:val="en-US"/>
        </w:rPr>
        <w:t>P</w:t>
      </w:r>
      <w:r w:rsidRPr="00BC73BB">
        <w:rPr>
          <w:rFonts w:ascii="Times New Roman" w:hAnsi="Times New Roman"/>
          <w:sz w:val="28"/>
          <w:szCs w:val="28"/>
        </w:rPr>
        <w:t>. 484–486.</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sz w:val="28"/>
          <w:szCs w:val="28"/>
        </w:rPr>
        <w:t>Власов В. В. Введение в доказательную медицину. М.</w:t>
      </w:r>
      <w:r w:rsidRPr="00BC73BB">
        <w:rPr>
          <w:rFonts w:ascii="Times New Roman" w:hAnsi="Times New Roman"/>
          <w:sz w:val="28"/>
          <w:szCs w:val="28"/>
          <w:lang w:val="uk-UA"/>
        </w:rPr>
        <w:t>: МедиаСфера</w:t>
      </w:r>
      <w:r w:rsidRPr="00BC73BB">
        <w:rPr>
          <w:rFonts w:ascii="Times New Roman" w:hAnsi="Times New Roman"/>
          <w:sz w:val="28"/>
          <w:szCs w:val="28"/>
        </w:rPr>
        <w:t>, 2001</w:t>
      </w:r>
      <w:r w:rsidRPr="00BC73BB">
        <w:rPr>
          <w:rFonts w:ascii="Times New Roman" w:hAnsi="Times New Roman"/>
          <w:sz w:val="28"/>
          <w:szCs w:val="28"/>
          <w:lang w:val="uk-UA"/>
        </w:rPr>
        <w:t>. 392 с.</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rPr>
      </w:pPr>
      <w:bookmarkStart w:id="37" w:name="_Hlk50123105"/>
      <w:bookmarkStart w:id="38" w:name="_Hlk50123124"/>
      <w:r w:rsidRPr="00BC73BB">
        <w:rPr>
          <w:rFonts w:ascii="Times New Roman" w:hAnsi="Times New Roman"/>
          <w:sz w:val="28"/>
          <w:szCs w:val="28"/>
        </w:rPr>
        <w:t>Гринхальх Т. Основы доказательной медицины</w:t>
      </w:r>
      <w:r w:rsidRPr="00BC73BB">
        <w:rPr>
          <w:rFonts w:ascii="Times New Roman" w:hAnsi="Times New Roman"/>
          <w:sz w:val="28"/>
          <w:szCs w:val="28"/>
          <w:lang w:val="uk-UA"/>
        </w:rPr>
        <w:t>:к</w:t>
      </w:r>
      <w:r w:rsidRPr="00BC73BB">
        <w:rPr>
          <w:rFonts w:ascii="Times New Roman" w:hAnsi="Times New Roman"/>
          <w:sz w:val="28"/>
          <w:szCs w:val="28"/>
        </w:rPr>
        <w:t>лин</w:t>
      </w:r>
      <w:r w:rsidRPr="00BC73BB">
        <w:rPr>
          <w:rFonts w:ascii="Times New Roman" w:hAnsi="Times New Roman"/>
          <w:sz w:val="28"/>
          <w:szCs w:val="28"/>
          <w:lang w:val="uk-UA"/>
        </w:rPr>
        <w:t>.р</w:t>
      </w:r>
      <w:r w:rsidRPr="00BC73BB">
        <w:rPr>
          <w:rFonts w:ascii="Times New Roman" w:hAnsi="Times New Roman"/>
          <w:sz w:val="28"/>
          <w:szCs w:val="28"/>
        </w:rPr>
        <w:t>еком</w:t>
      </w:r>
      <w:r w:rsidRPr="00BC73BB">
        <w:rPr>
          <w:rFonts w:ascii="Times New Roman" w:hAnsi="Times New Roman"/>
          <w:sz w:val="28"/>
          <w:szCs w:val="28"/>
          <w:lang w:val="uk-UA"/>
        </w:rPr>
        <w:t xml:space="preserve">. </w:t>
      </w:r>
      <w:bookmarkEnd w:id="37"/>
      <w:r w:rsidRPr="00BC73BB">
        <w:rPr>
          <w:rFonts w:ascii="Times New Roman" w:hAnsi="Times New Roman"/>
          <w:sz w:val="28"/>
          <w:szCs w:val="28"/>
          <w:lang w:val="uk-UA"/>
        </w:rPr>
        <w:t>4-е изд., доп. / п</w:t>
      </w:r>
      <w:r w:rsidRPr="00BC73BB">
        <w:rPr>
          <w:rFonts w:ascii="Times New Roman" w:hAnsi="Times New Roman"/>
          <w:sz w:val="28"/>
          <w:szCs w:val="28"/>
        </w:rPr>
        <w:t>од ред. акад. РАН И.Н. Денисова, К.И. Сайткулова, В.П. ЛеоноваМ.</w:t>
      </w:r>
      <w:r w:rsidRPr="00BC73BB">
        <w:rPr>
          <w:rFonts w:ascii="Times New Roman" w:hAnsi="Times New Roman"/>
          <w:sz w:val="28"/>
          <w:szCs w:val="28"/>
          <w:lang w:val="uk-UA"/>
        </w:rPr>
        <w:t>: Г</w:t>
      </w:r>
      <w:r w:rsidRPr="00BC73BB">
        <w:rPr>
          <w:rFonts w:ascii="Times New Roman" w:hAnsi="Times New Roman"/>
          <w:sz w:val="28"/>
          <w:szCs w:val="28"/>
        </w:rPr>
        <w:t>ЭОТАР-Медиа, 2019. 37 с.</w:t>
      </w:r>
      <w:bookmarkEnd w:id="38"/>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sz w:val="28"/>
          <w:szCs w:val="28"/>
        </w:rPr>
        <w:t>Скакун М. П</w:t>
      </w:r>
      <w:r w:rsidR="00771748">
        <w:rPr>
          <w:rFonts w:ascii="Times New Roman" w:hAnsi="Times New Roman"/>
          <w:sz w:val="28"/>
          <w:szCs w:val="28"/>
        </w:rPr>
        <w:t>.</w:t>
      </w:r>
      <w:r w:rsidRPr="00BC73BB">
        <w:rPr>
          <w:rFonts w:ascii="Times New Roman" w:hAnsi="Times New Roman"/>
          <w:sz w:val="28"/>
          <w:szCs w:val="28"/>
        </w:rPr>
        <w:t>Основидоказовоїмедицини. Тернопіль: Укрмедкнига, 2005</w:t>
      </w:r>
      <w:r w:rsidRPr="00BC73BB">
        <w:rPr>
          <w:rFonts w:ascii="Times New Roman" w:hAnsi="Times New Roman"/>
          <w:sz w:val="28"/>
          <w:szCs w:val="28"/>
          <w:lang w:val="uk-UA"/>
        </w:rPr>
        <w:t>. 244 с.</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sz w:val="28"/>
          <w:szCs w:val="28"/>
        </w:rPr>
        <w:t xml:space="preserve">Уваренко А.Р. Науковаінформація, інноваційнаполітика, доказова медицина </w:t>
      </w:r>
      <w:r w:rsidRPr="00BC73BB">
        <w:rPr>
          <w:rFonts w:ascii="Times New Roman" w:hAnsi="Times New Roman"/>
          <w:sz w:val="28"/>
          <w:szCs w:val="28"/>
          <w:shd w:val="clear" w:color="auto" w:fill="FFFFFF"/>
        </w:rPr>
        <w:t>–</w:t>
      </w:r>
      <w:r w:rsidRPr="00BC73BB">
        <w:rPr>
          <w:rFonts w:ascii="Times New Roman" w:hAnsi="Times New Roman"/>
          <w:sz w:val="28"/>
          <w:szCs w:val="28"/>
        </w:rPr>
        <w:t>взаємопов’язанікатегоріїуправління у сучасніймедицині</w:t>
      </w:r>
      <w:r w:rsidRPr="00BC73BB">
        <w:rPr>
          <w:rFonts w:ascii="Times New Roman" w:hAnsi="Times New Roman"/>
          <w:sz w:val="28"/>
          <w:szCs w:val="28"/>
          <w:lang w:val="uk-UA"/>
        </w:rPr>
        <w:t xml:space="preserve">. </w:t>
      </w:r>
      <w:r w:rsidRPr="00BC73BB">
        <w:rPr>
          <w:rFonts w:ascii="Times New Roman" w:hAnsi="Times New Roman"/>
          <w:sz w:val="28"/>
          <w:szCs w:val="28"/>
        </w:rPr>
        <w:t>Мед</w:t>
      </w:r>
      <w:r w:rsidRPr="00BC73BB">
        <w:rPr>
          <w:rFonts w:ascii="Times New Roman" w:hAnsi="Times New Roman"/>
          <w:sz w:val="28"/>
          <w:szCs w:val="28"/>
          <w:lang w:val="uk-UA"/>
        </w:rPr>
        <w:t>.</w:t>
      </w:r>
      <w:r w:rsidRPr="00BC73BB">
        <w:rPr>
          <w:rFonts w:ascii="Times New Roman" w:hAnsi="Times New Roman"/>
          <w:sz w:val="28"/>
          <w:szCs w:val="28"/>
        </w:rPr>
        <w:t>освіта. 2004. № 1</w:t>
      </w:r>
      <w:r w:rsidRPr="00BC73BB">
        <w:rPr>
          <w:rFonts w:ascii="Times New Roman" w:hAnsi="Times New Roman"/>
          <w:sz w:val="28"/>
          <w:szCs w:val="28"/>
          <w:lang w:val="uk-UA"/>
        </w:rPr>
        <w:t>. С. 52.</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sz w:val="28"/>
          <w:szCs w:val="28"/>
        </w:rPr>
        <w:t>Чубенко А.В.</w:t>
      </w:r>
      <w:r w:rsidRPr="00BC73BB">
        <w:rPr>
          <w:rFonts w:ascii="Times New Roman" w:hAnsi="Times New Roman"/>
          <w:sz w:val="28"/>
          <w:szCs w:val="28"/>
          <w:lang w:val="uk-UA"/>
        </w:rPr>
        <w:t>,</w:t>
      </w:r>
      <w:r w:rsidRPr="00BC73BB">
        <w:rPr>
          <w:rFonts w:ascii="Times New Roman" w:hAnsi="Times New Roman"/>
          <w:sz w:val="28"/>
          <w:szCs w:val="28"/>
        </w:rPr>
        <w:t xml:space="preserve"> Бабич П.Н., Лапач С.Н. Медицина, основанная на доказательствах, и современные информационные технологии</w:t>
      </w:r>
      <w:r w:rsidRPr="00BC73BB">
        <w:rPr>
          <w:rFonts w:ascii="Times New Roman" w:hAnsi="Times New Roman"/>
          <w:sz w:val="28"/>
          <w:szCs w:val="28"/>
          <w:lang w:val="uk-UA"/>
        </w:rPr>
        <w:t xml:space="preserve">. </w:t>
      </w:r>
      <w:r w:rsidRPr="00BC73BB">
        <w:rPr>
          <w:rFonts w:ascii="Times New Roman" w:hAnsi="Times New Roman"/>
          <w:sz w:val="28"/>
          <w:szCs w:val="28"/>
        </w:rPr>
        <w:t>Укр. мед. часопис. 2004. № 2</w:t>
      </w:r>
      <w:r w:rsidRPr="00BC73BB">
        <w:rPr>
          <w:rFonts w:ascii="Times New Roman" w:hAnsi="Times New Roman"/>
          <w:sz w:val="28"/>
          <w:szCs w:val="28"/>
          <w:lang w:val="uk-UA"/>
        </w:rPr>
        <w:t>. С. 49</w:t>
      </w:r>
      <w:r w:rsidRPr="00BC73BB">
        <w:rPr>
          <w:rFonts w:ascii="Times New Roman" w:hAnsi="Times New Roman"/>
          <w:sz w:val="28"/>
          <w:szCs w:val="28"/>
          <w:shd w:val="clear" w:color="auto" w:fill="FFFFFF"/>
          <w:lang w:val="en-US"/>
        </w:rPr>
        <w:t>–</w:t>
      </w:r>
      <w:r w:rsidRPr="00BC73BB">
        <w:rPr>
          <w:rFonts w:ascii="Times New Roman" w:hAnsi="Times New Roman"/>
          <w:sz w:val="28"/>
          <w:szCs w:val="28"/>
          <w:lang w:val="uk-UA"/>
        </w:rPr>
        <w:t>56.</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Style w:val="ac"/>
          <w:rFonts w:ascii="Times New Roman" w:eastAsiaTheme="majorEastAsia" w:hAnsi="Times New Roman"/>
          <w:color w:val="auto"/>
          <w:sz w:val="28"/>
          <w:szCs w:val="28"/>
          <w:u w:val="none"/>
          <w:lang w:val="uk-UA"/>
        </w:rPr>
      </w:pPr>
      <w:r w:rsidRPr="00BC73BB">
        <w:rPr>
          <w:rFonts w:ascii="Times New Roman" w:hAnsi="Times New Roman"/>
          <w:sz w:val="28"/>
          <w:szCs w:val="28"/>
          <w:lang w:val="uk-UA"/>
        </w:rPr>
        <w:t>Геморагічний інсульт (внутрішньомозкова гематома, аневризмальний субарахноїдальний крововилив): уніфікований клінічний протокол екстреної, первинної, вторинної/спеціалізованої, третинної/високоспеціалізованої медичної допомоги та медичної реабілітації : Наказ МОЗ України від 17.04.2014 р. № 275. Жур. неврол.</w:t>
      </w:r>
      <w:r w:rsidRPr="00BC73BB">
        <w:rPr>
          <w:rFonts w:ascii="Times New Roman" w:hAnsi="Times New Roman"/>
          <w:sz w:val="28"/>
          <w:szCs w:val="28"/>
        </w:rPr>
        <w:t>ім. Б.М. Маньковського</w:t>
      </w:r>
      <w:r w:rsidRPr="00BC73BB">
        <w:rPr>
          <w:rFonts w:ascii="Times New Roman" w:hAnsi="Times New Roman"/>
          <w:sz w:val="28"/>
          <w:szCs w:val="28"/>
          <w:lang w:val="uk-UA"/>
        </w:rPr>
        <w:t>. 2015. Т. 3, № 1. С. 71</w:t>
      </w:r>
      <w:r w:rsidRPr="00BC73BB">
        <w:rPr>
          <w:rFonts w:ascii="Times New Roman" w:hAnsi="Times New Roman"/>
          <w:sz w:val="28"/>
          <w:szCs w:val="28"/>
        </w:rPr>
        <w:t>–</w:t>
      </w:r>
      <w:r w:rsidRPr="00BC73BB">
        <w:rPr>
          <w:rFonts w:ascii="Times New Roman" w:hAnsi="Times New Roman"/>
          <w:sz w:val="28"/>
          <w:szCs w:val="28"/>
          <w:lang w:val="uk-UA"/>
        </w:rPr>
        <w:t>90.</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Style w:val="apple-converted-space"/>
          <w:rFonts w:ascii="Times New Roman" w:hAnsi="Times New Roman"/>
          <w:sz w:val="28"/>
          <w:szCs w:val="28"/>
          <w:shd w:val="clear" w:color="auto" w:fill="FFFFFF"/>
          <w:lang w:val="uk-UA"/>
        </w:rPr>
      </w:pPr>
      <w:r w:rsidRPr="00BC73BB">
        <w:rPr>
          <w:rStyle w:val="apple-converted-space"/>
          <w:rFonts w:ascii="Times New Roman" w:hAnsi="Times New Roman"/>
          <w:sz w:val="28"/>
          <w:szCs w:val="28"/>
          <w:shd w:val="clear" w:color="auto" w:fill="FFFFFF"/>
          <w:lang w:val="uk-UA"/>
        </w:rPr>
        <w:t xml:space="preserve">Стандартизація в нейрохірургії. Ч. 3. Судинні захворювання / за ред. Є. .Г Педаченка. Київ : </w:t>
      </w:r>
      <w:r w:rsidRPr="00BC73BB">
        <w:rPr>
          <w:rStyle w:val="apple-converted-space"/>
          <w:rFonts w:ascii="Times New Roman" w:hAnsi="Times New Roman"/>
          <w:sz w:val="28"/>
          <w:szCs w:val="28"/>
          <w:lang w:val="uk-UA"/>
        </w:rPr>
        <w:t>ДУ ІНХ НАМНУ</w:t>
      </w:r>
      <w:r w:rsidRPr="00BC73BB">
        <w:rPr>
          <w:rStyle w:val="apple-converted-space"/>
          <w:rFonts w:ascii="Times New Roman" w:hAnsi="Times New Roman"/>
          <w:sz w:val="28"/>
          <w:szCs w:val="28"/>
          <w:shd w:val="clear" w:color="auto" w:fill="FFFFFF"/>
          <w:lang w:val="uk-UA"/>
        </w:rPr>
        <w:t>, 2020. 96 с.</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en-US"/>
        </w:rPr>
        <w:t>A prospective, randomized, single-blinded trial on the effect of early rehabilitation on daily activities and motor function of patients with hemorrhagic stroke</w:t>
      </w:r>
      <w:r w:rsidRPr="00BC73BB">
        <w:rPr>
          <w:rStyle w:val="referencesarticle-title"/>
          <w:rFonts w:ascii="Times New Roman" w:hAnsi="Times New Roman"/>
          <w:sz w:val="28"/>
          <w:szCs w:val="28"/>
          <w:shd w:val="clear" w:color="auto" w:fill="FFFFFF"/>
          <w:lang w:val="uk-UA"/>
        </w:rPr>
        <w:t xml:space="preserve"> / </w:t>
      </w:r>
      <w:r w:rsidRPr="00BC73BB">
        <w:rPr>
          <w:rStyle w:val="referencesarticle-title"/>
          <w:rFonts w:ascii="Times New Roman" w:hAnsi="Times New Roman"/>
          <w:sz w:val="28"/>
          <w:szCs w:val="28"/>
          <w:shd w:val="clear" w:color="auto" w:fill="FFFFFF"/>
          <w:lang w:val="en-US"/>
        </w:rPr>
        <w:t>Y</w:t>
      </w:r>
      <w:r w:rsidRPr="00BC73BB">
        <w:rPr>
          <w:rStyle w:val="referencesarticle-title"/>
          <w:rFonts w:ascii="Times New Roman" w:hAnsi="Times New Roman"/>
          <w:sz w:val="28"/>
          <w:szCs w:val="28"/>
          <w:shd w:val="clear" w:color="auto" w:fill="FFFFFF"/>
          <w:lang w:val="uk-UA"/>
        </w:rPr>
        <w:t xml:space="preserve">. </w:t>
      </w:r>
      <w:r w:rsidRPr="00BC73BB">
        <w:rPr>
          <w:rStyle w:val="referencesarticle-title"/>
          <w:rFonts w:ascii="Times New Roman" w:hAnsi="Times New Roman"/>
          <w:sz w:val="28"/>
          <w:szCs w:val="28"/>
          <w:shd w:val="clear" w:color="auto" w:fill="FFFFFF"/>
          <w:lang w:val="en-US"/>
        </w:rPr>
        <w:t>Baietal</w:t>
      </w:r>
      <w:r w:rsidRPr="00BC73BB">
        <w:rPr>
          <w:rStyle w:val="referencesarticle-title"/>
          <w:rFonts w:ascii="Times New Roman" w:hAnsi="Times New Roman"/>
          <w:sz w:val="28"/>
          <w:szCs w:val="28"/>
          <w:shd w:val="clear" w:color="auto" w:fill="FFFFFF"/>
          <w:lang w:val="uk-UA"/>
        </w:rPr>
        <w:t xml:space="preserve">. </w:t>
      </w:r>
      <w:r w:rsidRPr="00BC73BB">
        <w:rPr>
          <w:rFonts w:ascii="Times New Roman" w:hAnsi="Times New Roman"/>
          <w:sz w:val="28"/>
          <w:szCs w:val="28"/>
          <w:lang w:val="en-US"/>
        </w:rPr>
        <w:t>J. Clin. Neurosc. 2</w:t>
      </w:r>
      <w:r w:rsidRPr="00BC73BB">
        <w:rPr>
          <w:rFonts w:ascii="Times New Roman" w:hAnsi="Times New Roman"/>
          <w:sz w:val="28"/>
          <w:szCs w:val="28"/>
          <w:shd w:val="clear" w:color="auto" w:fill="FFFFFF"/>
          <w:lang w:val="en-US"/>
        </w:rPr>
        <w:t xml:space="preserve">012. </w:t>
      </w:r>
      <w:r w:rsidRPr="00BC73BB">
        <w:rPr>
          <w:rFonts w:ascii="Times New Roman" w:hAnsi="Times New Roman"/>
          <w:sz w:val="28"/>
          <w:szCs w:val="28"/>
          <w:lang w:val="en-US"/>
        </w:rPr>
        <w:t>Vol. 19</w:t>
      </w:r>
      <w:r w:rsidRPr="00BC73BB">
        <w:rPr>
          <w:rFonts w:ascii="Times New Roman" w:hAnsi="Times New Roman"/>
          <w:sz w:val="28"/>
          <w:szCs w:val="28"/>
          <w:lang w:val="uk-UA"/>
        </w:rPr>
        <w:t xml:space="preserve"> (</w:t>
      </w:r>
      <w:r w:rsidRPr="00BC73BB">
        <w:rPr>
          <w:rFonts w:ascii="Times New Roman" w:hAnsi="Times New Roman"/>
          <w:sz w:val="28"/>
          <w:szCs w:val="28"/>
          <w:lang w:val="en-US"/>
        </w:rPr>
        <w:t>10</w:t>
      </w:r>
      <w:r w:rsidRPr="00BC73BB">
        <w:rPr>
          <w:rFonts w:ascii="Times New Roman" w:hAnsi="Times New Roman"/>
          <w:sz w:val="28"/>
          <w:szCs w:val="28"/>
          <w:lang w:val="uk-UA"/>
        </w:rPr>
        <w:t>)</w:t>
      </w:r>
      <w:r w:rsidRPr="00BC73BB">
        <w:rPr>
          <w:rFonts w:ascii="Times New Roman" w:hAnsi="Times New Roman"/>
          <w:sz w:val="28"/>
          <w:szCs w:val="28"/>
          <w:lang w:val="en-US"/>
        </w:rPr>
        <w:t>. P. 1376</w:t>
      </w:r>
      <w:r w:rsidRPr="00BC73BB">
        <w:rPr>
          <w:rFonts w:ascii="Times New Roman" w:hAnsi="Times New Roman"/>
          <w:sz w:val="28"/>
          <w:szCs w:val="28"/>
        </w:rPr>
        <w:t>–</w:t>
      </w:r>
      <w:r w:rsidRPr="00BC73BB">
        <w:rPr>
          <w:rFonts w:ascii="Times New Roman" w:hAnsi="Times New Roman"/>
          <w:sz w:val="28"/>
          <w:szCs w:val="28"/>
          <w:lang w:val="en-US"/>
        </w:rPr>
        <w:t>1379.</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en-US"/>
        </w:rPr>
        <w:t>Accuracy of Prediction Instruments for Diagnosing Large Vessel Occlusion in Individuals with Suspected Stroke: A Systematic Review for the 2018 Guidelines for the Early Management of Patients with Acute Ischemic Stroke / E. E. Smith et al. Stroke. 2018. Vol. 49</w:t>
      </w:r>
      <w:r w:rsidRPr="00BC73BB">
        <w:rPr>
          <w:rFonts w:ascii="Times New Roman" w:hAnsi="Times New Roman"/>
          <w:sz w:val="28"/>
          <w:szCs w:val="28"/>
          <w:lang w:val="uk-UA"/>
        </w:rPr>
        <w:t xml:space="preserve"> (</w:t>
      </w:r>
      <w:r w:rsidRPr="00BC73BB">
        <w:rPr>
          <w:rFonts w:ascii="Times New Roman" w:hAnsi="Times New Roman"/>
          <w:sz w:val="28"/>
          <w:szCs w:val="28"/>
          <w:lang w:val="en-US"/>
        </w:rPr>
        <w:t>3</w:t>
      </w:r>
      <w:r w:rsidRPr="00BC73BB">
        <w:rPr>
          <w:rFonts w:ascii="Times New Roman" w:hAnsi="Times New Roman"/>
          <w:sz w:val="28"/>
          <w:szCs w:val="28"/>
          <w:lang w:val="uk-UA"/>
        </w:rPr>
        <w:t>)</w:t>
      </w:r>
      <w:r w:rsidRPr="00BC73BB">
        <w:rPr>
          <w:rFonts w:ascii="Times New Roman" w:hAnsi="Times New Roman"/>
          <w:sz w:val="28"/>
          <w:szCs w:val="28"/>
          <w:lang w:val="en-US"/>
        </w:rPr>
        <w:t>. P. e111</w:t>
      </w:r>
      <w:r w:rsidRPr="00BC73BB">
        <w:rPr>
          <w:rFonts w:ascii="Times New Roman" w:hAnsi="Times New Roman"/>
          <w:sz w:val="28"/>
          <w:szCs w:val="28"/>
        </w:rPr>
        <w:t>–</w:t>
      </w:r>
      <w:r w:rsidRPr="00BC73BB">
        <w:rPr>
          <w:rFonts w:ascii="Times New Roman" w:hAnsi="Times New Roman"/>
          <w:sz w:val="28"/>
          <w:szCs w:val="28"/>
          <w:lang w:val="en-US"/>
        </w:rPr>
        <w:t xml:space="preserve">e122. </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rPr>
        <w:t xml:space="preserve">Нейропротекция при остром инсульте на догоспитальном этапе / В. </w:t>
      </w:r>
      <w:r w:rsidRPr="00BC73BB">
        <w:rPr>
          <w:rFonts w:ascii="Times New Roman" w:hAnsi="Times New Roman"/>
          <w:sz w:val="28"/>
          <w:szCs w:val="28"/>
        </w:rPr>
        <w:lastRenderedPageBreak/>
        <w:t>Б.Афанасьев и др</w:t>
      </w:r>
      <w:r w:rsidRPr="00BC73BB">
        <w:rPr>
          <w:rFonts w:ascii="Times New Roman" w:hAnsi="Times New Roman"/>
          <w:sz w:val="28"/>
          <w:szCs w:val="28"/>
          <w:lang w:val="uk-UA"/>
        </w:rPr>
        <w:t>.</w:t>
      </w:r>
      <w:r w:rsidRPr="00BC73BB">
        <w:rPr>
          <w:rFonts w:ascii="Times New Roman" w:hAnsi="Times New Roman"/>
          <w:bCs/>
          <w:sz w:val="28"/>
          <w:szCs w:val="28"/>
          <w:bdr w:val="none" w:sz="0" w:space="0" w:color="auto" w:frame="1"/>
          <w:lang w:val="uk-UA"/>
        </w:rPr>
        <w:t>Мед. неотлож. состояний</w:t>
      </w:r>
      <w:r w:rsidRPr="00BC73BB">
        <w:rPr>
          <w:rFonts w:ascii="Times New Roman" w:hAnsi="Times New Roman"/>
          <w:sz w:val="28"/>
          <w:szCs w:val="28"/>
        </w:rPr>
        <w:t>. 2012. № 5 (44). С. 45–49.</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en-US"/>
        </w:rPr>
        <w:t>Trendsinacuteschemicstroketrialsthroughthe</w:t>
      </w:r>
      <w:r w:rsidRPr="00BC73BB">
        <w:rPr>
          <w:rFonts w:ascii="Times New Roman" w:hAnsi="Times New Roman"/>
          <w:sz w:val="28"/>
          <w:szCs w:val="28"/>
          <w:lang w:val="uk-UA"/>
        </w:rPr>
        <w:t xml:space="preserve"> 20</w:t>
      </w:r>
      <w:r w:rsidRPr="00BC73BB">
        <w:rPr>
          <w:rFonts w:ascii="Times New Roman" w:hAnsi="Times New Roman"/>
          <w:sz w:val="28"/>
          <w:szCs w:val="28"/>
          <w:lang w:val="en-US"/>
        </w:rPr>
        <w:t>th</w:t>
      </w:r>
      <w:r w:rsidRPr="00BC73BB">
        <w:rPr>
          <w:rFonts w:ascii="Times New Roman" w:hAnsi="Times New Roman"/>
          <w:sz w:val="28"/>
          <w:szCs w:val="28"/>
          <w:lang w:val="uk-UA"/>
        </w:rPr>
        <w:t xml:space="preserve"> / </w:t>
      </w:r>
      <w:r w:rsidRPr="00BC73BB">
        <w:rPr>
          <w:rFonts w:ascii="Times New Roman" w:hAnsi="Times New Roman"/>
          <w:sz w:val="28"/>
          <w:szCs w:val="28"/>
          <w:lang w:val="en-US"/>
        </w:rPr>
        <w:t>C</w:t>
      </w:r>
      <w:r w:rsidRPr="00BC73BB">
        <w:rPr>
          <w:rFonts w:ascii="Times New Roman" w:hAnsi="Times New Roman"/>
          <w:sz w:val="28"/>
          <w:szCs w:val="28"/>
          <w:lang w:val="uk-UA"/>
        </w:rPr>
        <w:t xml:space="preserve">. </w:t>
      </w:r>
      <w:r w:rsidRPr="00BC73BB">
        <w:rPr>
          <w:rFonts w:ascii="Times New Roman" w:hAnsi="Times New Roman"/>
          <w:sz w:val="28"/>
          <w:szCs w:val="28"/>
          <w:lang w:val="en-US"/>
        </w:rPr>
        <w:t>S</w:t>
      </w:r>
      <w:r w:rsidRPr="00BC73BB">
        <w:rPr>
          <w:rFonts w:ascii="Times New Roman" w:hAnsi="Times New Roman"/>
          <w:sz w:val="28"/>
          <w:szCs w:val="28"/>
          <w:lang w:val="uk-UA"/>
        </w:rPr>
        <w:t>.</w:t>
      </w:r>
      <w:r w:rsidRPr="00BC73BB">
        <w:rPr>
          <w:rFonts w:ascii="Times New Roman" w:hAnsi="Times New Roman"/>
          <w:sz w:val="28"/>
          <w:szCs w:val="28"/>
          <w:lang w:val="en-US"/>
        </w:rPr>
        <w:t xml:space="preserve"> Kidwell etal</w:t>
      </w:r>
      <w:r w:rsidRPr="00BC73BB">
        <w:rPr>
          <w:rFonts w:ascii="Times New Roman" w:hAnsi="Times New Roman"/>
          <w:sz w:val="28"/>
          <w:szCs w:val="28"/>
          <w:lang w:val="uk-UA"/>
        </w:rPr>
        <w:t xml:space="preserve">. </w:t>
      </w:r>
      <w:r w:rsidRPr="00BC73BB">
        <w:rPr>
          <w:rFonts w:ascii="Times New Roman" w:hAnsi="Times New Roman"/>
          <w:sz w:val="28"/>
          <w:szCs w:val="28"/>
          <w:lang w:val="en-US"/>
        </w:rPr>
        <w:t>Stroke</w:t>
      </w:r>
      <w:r w:rsidRPr="00BC73BB">
        <w:rPr>
          <w:rFonts w:ascii="Times New Roman" w:hAnsi="Times New Roman"/>
          <w:sz w:val="28"/>
          <w:szCs w:val="28"/>
          <w:lang w:val="uk-UA"/>
        </w:rPr>
        <w:t xml:space="preserve">. 2001. </w:t>
      </w:r>
      <w:r w:rsidRPr="00BC73BB">
        <w:rPr>
          <w:rFonts w:ascii="Times New Roman" w:hAnsi="Times New Roman"/>
          <w:sz w:val="28"/>
          <w:szCs w:val="28"/>
          <w:lang w:val="en-US"/>
        </w:rPr>
        <w:t>Vol</w:t>
      </w:r>
      <w:r w:rsidRPr="00BC73BB">
        <w:rPr>
          <w:rFonts w:ascii="Times New Roman" w:hAnsi="Times New Roman"/>
          <w:sz w:val="28"/>
          <w:szCs w:val="28"/>
          <w:lang w:val="uk-UA"/>
        </w:rPr>
        <w:t>. 32 (6). Р. 1349</w:t>
      </w:r>
      <w:r w:rsidRPr="00BC73BB">
        <w:rPr>
          <w:rFonts w:ascii="Times New Roman" w:hAnsi="Times New Roman"/>
          <w:sz w:val="28"/>
          <w:szCs w:val="28"/>
        </w:rPr>
        <w:t>–</w:t>
      </w:r>
      <w:r w:rsidRPr="00BC73BB">
        <w:rPr>
          <w:rFonts w:ascii="Times New Roman" w:hAnsi="Times New Roman"/>
          <w:sz w:val="28"/>
          <w:szCs w:val="28"/>
          <w:lang w:val="uk-UA"/>
        </w:rPr>
        <w:t>1359.</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en-US"/>
        </w:rPr>
        <w:t>Citicolineforacuteischemicstroke</w:t>
      </w:r>
      <w:r w:rsidRPr="00BC73BB">
        <w:rPr>
          <w:rFonts w:ascii="Times New Roman" w:hAnsi="Times New Roman"/>
          <w:sz w:val="28"/>
          <w:szCs w:val="28"/>
          <w:lang w:val="uk-UA"/>
        </w:rPr>
        <w:t xml:space="preserve">: </w:t>
      </w:r>
      <w:r w:rsidRPr="00BC73BB">
        <w:rPr>
          <w:rFonts w:ascii="Times New Roman" w:hAnsi="Times New Roman"/>
          <w:sz w:val="28"/>
          <w:szCs w:val="28"/>
          <w:lang w:val="en-US"/>
        </w:rPr>
        <w:t>asystematicreviewandformalmeta</w:t>
      </w:r>
      <w:r w:rsidRPr="00BC73BB">
        <w:rPr>
          <w:rFonts w:ascii="Times New Roman" w:hAnsi="Times New Roman"/>
          <w:sz w:val="28"/>
          <w:szCs w:val="28"/>
          <w:lang w:val="uk-UA"/>
        </w:rPr>
        <w:t>-</w:t>
      </w:r>
      <w:r w:rsidRPr="00BC73BB">
        <w:rPr>
          <w:rFonts w:ascii="Times New Roman" w:hAnsi="Times New Roman"/>
          <w:sz w:val="28"/>
          <w:szCs w:val="28"/>
          <w:lang w:val="en-US"/>
        </w:rPr>
        <w:t>analysisofrandomized</w:t>
      </w:r>
      <w:r w:rsidRPr="00BC73BB">
        <w:rPr>
          <w:rFonts w:ascii="Times New Roman" w:hAnsi="Times New Roman"/>
          <w:sz w:val="28"/>
          <w:szCs w:val="28"/>
          <w:lang w:val="uk-UA"/>
        </w:rPr>
        <w:t xml:space="preserve">, </w:t>
      </w:r>
      <w:r w:rsidRPr="00BC73BB">
        <w:rPr>
          <w:rFonts w:ascii="Times New Roman" w:hAnsi="Times New Roman"/>
          <w:sz w:val="28"/>
          <w:szCs w:val="28"/>
          <w:lang w:val="en-US"/>
        </w:rPr>
        <w:t>double</w:t>
      </w:r>
      <w:r w:rsidRPr="00BC73BB">
        <w:rPr>
          <w:rFonts w:ascii="Times New Roman" w:hAnsi="Times New Roman"/>
          <w:sz w:val="28"/>
          <w:szCs w:val="28"/>
          <w:lang w:val="uk-UA"/>
        </w:rPr>
        <w:t>-</w:t>
      </w:r>
      <w:r w:rsidRPr="00BC73BB">
        <w:rPr>
          <w:rFonts w:ascii="Times New Roman" w:hAnsi="Times New Roman"/>
          <w:sz w:val="28"/>
          <w:szCs w:val="28"/>
          <w:lang w:val="en-US"/>
        </w:rPr>
        <w:t>blind</w:t>
      </w:r>
      <w:r w:rsidRPr="00BC73BB">
        <w:rPr>
          <w:rFonts w:ascii="Times New Roman" w:hAnsi="Times New Roman"/>
          <w:sz w:val="28"/>
          <w:szCs w:val="28"/>
          <w:lang w:val="uk-UA"/>
        </w:rPr>
        <w:t xml:space="preserve">, </w:t>
      </w:r>
      <w:r w:rsidRPr="00BC73BB">
        <w:rPr>
          <w:rFonts w:ascii="Times New Roman" w:hAnsi="Times New Roman"/>
          <w:sz w:val="28"/>
          <w:szCs w:val="28"/>
          <w:lang w:val="en-US"/>
        </w:rPr>
        <w:t>andplacebo</w:t>
      </w:r>
      <w:r w:rsidRPr="00BC73BB">
        <w:rPr>
          <w:rFonts w:ascii="Times New Roman" w:hAnsi="Times New Roman"/>
          <w:sz w:val="28"/>
          <w:szCs w:val="28"/>
          <w:lang w:val="uk-UA"/>
        </w:rPr>
        <w:t>-</w:t>
      </w:r>
      <w:r w:rsidRPr="00BC73BB">
        <w:rPr>
          <w:rFonts w:ascii="Times New Roman" w:hAnsi="Times New Roman"/>
          <w:sz w:val="28"/>
          <w:szCs w:val="28"/>
          <w:lang w:val="en-US"/>
        </w:rPr>
        <w:t>controlledtrials</w:t>
      </w:r>
      <w:r w:rsidRPr="00BC73BB">
        <w:rPr>
          <w:rFonts w:ascii="Times New Roman" w:hAnsi="Times New Roman"/>
          <w:sz w:val="28"/>
          <w:szCs w:val="28"/>
          <w:lang w:val="uk-UA"/>
        </w:rPr>
        <w:t xml:space="preserve"> / </w:t>
      </w:r>
      <w:r w:rsidRPr="00BC73BB">
        <w:rPr>
          <w:rFonts w:ascii="Times New Roman" w:hAnsi="Times New Roman"/>
          <w:sz w:val="28"/>
          <w:szCs w:val="28"/>
          <w:lang w:val="en-US"/>
        </w:rPr>
        <w:t>J</w:t>
      </w:r>
      <w:r w:rsidRPr="00BC73BB">
        <w:rPr>
          <w:rFonts w:ascii="Times New Roman" w:hAnsi="Times New Roman"/>
          <w:sz w:val="28"/>
          <w:szCs w:val="28"/>
          <w:lang w:val="uk-UA"/>
        </w:rPr>
        <w:t xml:space="preserve">. </w:t>
      </w:r>
      <w:r w:rsidRPr="00BC73BB">
        <w:rPr>
          <w:rFonts w:ascii="Times New Roman" w:hAnsi="Times New Roman"/>
          <w:sz w:val="28"/>
          <w:szCs w:val="28"/>
          <w:lang w:val="en-US"/>
        </w:rPr>
        <w:t>J</w:t>
      </w:r>
      <w:r w:rsidRPr="00BC73BB">
        <w:rPr>
          <w:rFonts w:ascii="Times New Roman" w:hAnsi="Times New Roman"/>
          <w:sz w:val="28"/>
          <w:szCs w:val="28"/>
          <w:lang w:val="uk-UA"/>
        </w:rPr>
        <w:t xml:space="preserve">. </w:t>
      </w:r>
      <w:r w:rsidRPr="00BC73BB">
        <w:rPr>
          <w:rFonts w:ascii="Times New Roman" w:hAnsi="Times New Roman"/>
          <w:sz w:val="28"/>
          <w:szCs w:val="28"/>
          <w:lang w:val="en-US"/>
        </w:rPr>
        <w:t>Secadesetal</w:t>
      </w:r>
      <w:r w:rsidRPr="00BC73BB">
        <w:rPr>
          <w:rFonts w:ascii="Times New Roman" w:hAnsi="Times New Roman"/>
          <w:sz w:val="28"/>
          <w:szCs w:val="28"/>
          <w:lang w:val="uk-UA"/>
        </w:rPr>
        <w:t xml:space="preserve">. </w:t>
      </w:r>
      <w:r w:rsidRPr="00BC73BB">
        <w:rPr>
          <w:rFonts w:ascii="Times New Roman" w:hAnsi="Times New Roman"/>
          <w:sz w:val="28"/>
          <w:szCs w:val="28"/>
          <w:lang w:val="en-US"/>
        </w:rPr>
        <w:t>J</w:t>
      </w:r>
      <w:r w:rsidRPr="00BC73BB">
        <w:rPr>
          <w:rFonts w:ascii="Times New Roman" w:hAnsi="Times New Roman"/>
          <w:sz w:val="28"/>
          <w:szCs w:val="28"/>
          <w:lang w:val="uk-UA"/>
        </w:rPr>
        <w:t>.</w:t>
      </w:r>
      <w:r w:rsidRPr="00BC73BB">
        <w:rPr>
          <w:rFonts w:ascii="Times New Roman" w:hAnsi="Times New Roman"/>
          <w:sz w:val="28"/>
          <w:szCs w:val="28"/>
          <w:lang w:val="en-US"/>
        </w:rPr>
        <w:t xml:space="preserve"> Stroke Cerebrovas</w:t>
      </w:r>
      <w:r w:rsidRPr="00BC73BB">
        <w:rPr>
          <w:rFonts w:ascii="Times New Roman" w:hAnsi="Times New Roman"/>
          <w:sz w:val="28"/>
          <w:szCs w:val="28"/>
          <w:lang w:val="uk-UA"/>
        </w:rPr>
        <w:t>.</w:t>
      </w:r>
      <w:r w:rsidRPr="00BC73BB">
        <w:rPr>
          <w:rFonts w:ascii="Times New Roman" w:hAnsi="Times New Roman"/>
          <w:sz w:val="28"/>
          <w:szCs w:val="28"/>
          <w:lang w:val="en-US"/>
        </w:rPr>
        <w:t xml:space="preserve"> Dis. 2016. Vol. 25. P. 1984</w:t>
      </w:r>
      <w:r w:rsidRPr="00BC73BB">
        <w:rPr>
          <w:rFonts w:ascii="Times New Roman" w:hAnsi="Times New Roman"/>
          <w:sz w:val="28"/>
          <w:szCs w:val="28"/>
        </w:rPr>
        <w:t>–</w:t>
      </w:r>
      <w:r w:rsidRPr="00BC73BB">
        <w:rPr>
          <w:rFonts w:ascii="Times New Roman" w:hAnsi="Times New Roman"/>
          <w:sz w:val="28"/>
          <w:szCs w:val="28"/>
          <w:lang w:val="en-US"/>
        </w:rPr>
        <w:t xml:space="preserve">1996. </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en-US"/>
        </w:rPr>
        <w:t>Citicoline in the treatment of acute ischaemic stroke: an international, randomised, multicentre, placebo-controlled study (ICTUS trial) / A. Dávalos et al. Lancet. 2012. Vol. 380</w:t>
      </w:r>
      <w:r w:rsidRPr="00BC73BB">
        <w:rPr>
          <w:rFonts w:ascii="Times New Roman" w:hAnsi="Times New Roman"/>
          <w:sz w:val="28"/>
          <w:szCs w:val="28"/>
          <w:lang w:val="uk-UA"/>
        </w:rPr>
        <w:t xml:space="preserve"> (</w:t>
      </w:r>
      <w:r w:rsidRPr="00BC73BB">
        <w:rPr>
          <w:rFonts w:ascii="Times New Roman" w:hAnsi="Times New Roman"/>
          <w:sz w:val="28"/>
          <w:szCs w:val="28"/>
          <w:lang w:val="en-US"/>
        </w:rPr>
        <w:t>9839</w:t>
      </w:r>
      <w:r w:rsidRPr="00BC73BB">
        <w:rPr>
          <w:rFonts w:ascii="Times New Roman" w:hAnsi="Times New Roman"/>
          <w:sz w:val="28"/>
          <w:szCs w:val="28"/>
          <w:lang w:val="uk-UA"/>
        </w:rPr>
        <w:t>)</w:t>
      </w:r>
      <w:r w:rsidRPr="00BC73BB">
        <w:rPr>
          <w:rFonts w:ascii="Times New Roman" w:hAnsi="Times New Roman"/>
          <w:sz w:val="28"/>
          <w:szCs w:val="28"/>
          <w:lang w:val="en-US"/>
        </w:rPr>
        <w:t xml:space="preserve">. </w:t>
      </w:r>
      <w:r w:rsidRPr="00BC73BB">
        <w:rPr>
          <w:rFonts w:ascii="Times New Roman" w:hAnsi="Times New Roman"/>
          <w:sz w:val="28"/>
          <w:szCs w:val="28"/>
        </w:rPr>
        <w:t>Р</w:t>
      </w:r>
      <w:r w:rsidRPr="00BC73BB">
        <w:rPr>
          <w:rFonts w:ascii="Times New Roman" w:hAnsi="Times New Roman"/>
          <w:sz w:val="28"/>
          <w:szCs w:val="28"/>
          <w:lang w:val="en-US"/>
        </w:rPr>
        <w:t>. 349</w:t>
      </w:r>
      <w:r w:rsidRPr="00BC73BB">
        <w:rPr>
          <w:rFonts w:ascii="Times New Roman" w:hAnsi="Times New Roman"/>
          <w:sz w:val="28"/>
          <w:szCs w:val="28"/>
        </w:rPr>
        <w:t>–</w:t>
      </w:r>
      <w:r w:rsidRPr="00BC73BB">
        <w:rPr>
          <w:rFonts w:ascii="Times New Roman" w:hAnsi="Times New Roman"/>
          <w:sz w:val="28"/>
          <w:szCs w:val="28"/>
          <w:lang w:val="en-US"/>
        </w:rPr>
        <w:t>357.</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Style w:val="longtext"/>
          <w:rFonts w:ascii="Times New Roman" w:hAnsi="Times New Roman"/>
          <w:sz w:val="28"/>
          <w:szCs w:val="28"/>
          <w:lang w:val="uk-UA"/>
        </w:rPr>
      </w:pPr>
      <w:r w:rsidRPr="00BC73BB">
        <w:rPr>
          <w:rFonts w:ascii="Times New Roman" w:hAnsi="Times New Roman"/>
          <w:sz w:val="28"/>
          <w:szCs w:val="28"/>
          <w:lang w:val="en-US"/>
        </w:rPr>
        <w:t>Cerebrolysin and Recovery After Stroke (CARS): A Randomized, Placebo-Controlled, Double-Blind, Multicenter Trial / D. F. Muresanu et al. Stroke. 2016. Vol. 47</w:t>
      </w:r>
      <w:r w:rsidRPr="00BC73BB">
        <w:rPr>
          <w:rFonts w:ascii="Times New Roman" w:hAnsi="Times New Roman"/>
          <w:sz w:val="28"/>
          <w:szCs w:val="28"/>
          <w:lang w:val="uk-UA"/>
        </w:rPr>
        <w:t xml:space="preserve"> (</w:t>
      </w:r>
      <w:r w:rsidRPr="00BC73BB">
        <w:rPr>
          <w:rFonts w:ascii="Times New Roman" w:hAnsi="Times New Roman"/>
          <w:sz w:val="28"/>
          <w:szCs w:val="28"/>
          <w:lang w:val="en-US"/>
        </w:rPr>
        <w:t>1</w:t>
      </w:r>
      <w:r w:rsidRPr="00BC73BB">
        <w:rPr>
          <w:rFonts w:ascii="Times New Roman" w:hAnsi="Times New Roman"/>
          <w:sz w:val="28"/>
          <w:szCs w:val="28"/>
          <w:lang w:val="uk-UA"/>
        </w:rPr>
        <w:t>)</w:t>
      </w:r>
      <w:r w:rsidRPr="00BC73BB">
        <w:rPr>
          <w:rFonts w:ascii="Times New Roman" w:hAnsi="Times New Roman"/>
          <w:sz w:val="28"/>
          <w:szCs w:val="28"/>
          <w:lang w:val="en-US"/>
        </w:rPr>
        <w:t>. P. 151</w:t>
      </w:r>
      <w:r w:rsidRPr="00BC73BB">
        <w:rPr>
          <w:rFonts w:ascii="Times New Roman" w:hAnsi="Times New Roman"/>
          <w:sz w:val="28"/>
          <w:szCs w:val="28"/>
        </w:rPr>
        <w:t>–</w:t>
      </w:r>
      <w:r w:rsidRPr="00BC73BB">
        <w:rPr>
          <w:rFonts w:ascii="Times New Roman" w:hAnsi="Times New Roman"/>
          <w:sz w:val="28"/>
          <w:szCs w:val="28"/>
          <w:lang w:val="en-US"/>
        </w:rPr>
        <w:t>159.</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shd w:val="clear" w:color="auto" w:fill="FFFFFF"/>
          <w:lang w:val="en-US"/>
        </w:rPr>
        <w:t>Guidelinesforthemanagementofspontaneousintracerebralhemorrhage</w:t>
      </w:r>
      <w:r w:rsidRPr="00BC73BB">
        <w:rPr>
          <w:rFonts w:ascii="Times New Roman" w:hAnsi="Times New Roman"/>
          <w:sz w:val="28"/>
          <w:szCs w:val="28"/>
          <w:shd w:val="clear" w:color="auto" w:fill="FFFFFF"/>
          <w:lang w:val="uk-UA"/>
        </w:rPr>
        <w:t xml:space="preserve">: </w:t>
      </w:r>
      <w:r w:rsidRPr="00BC73BB">
        <w:rPr>
          <w:rFonts w:ascii="Times New Roman" w:hAnsi="Times New Roman"/>
          <w:sz w:val="28"/>
          <w:szCs w:val="28"/>
          <w:shd w:val="clear" w:color="auto" w:fill="FFFFFF"/>
          <w:lang w:val="en-US"/>
        </w:rPr>
        <w:t>aguidelineforhealthcareprofessionalsfromtheAmericanHeartAssociation</w:t>
      </w:r>
      <w:r w:rsidRPr="00BC73BB">
        <w:rPr>
          <w:rFonts w:ascii="Times New Roman" w:hAnsi="Times New Roman"/>
          <w:sz w:val="28"/>
          <w:szCs w:val="28"/>
          <w:shd w:val="clear" w:color="auto" w:fill="FFFFFF"/>
          <w:lang w:val="uk-UA"/>
        </w:rPr>
        <w:t>/</w:t>
      </w:r>
      <w:r w:rsidRPr="00BC73BB">
        <w:rPr>
          <w:rFonts w:ascii="Times New Roman" w:hAnsi="Times New Roman"/>
          <w:sz w:val="28"/>
          <w:szCs w:val="28"/>
          <w:shd w:val="clear" w:color="auto" w:fill="FFFFFF"/>
          <w:lang w:val="en-US"/>
        </w:rPr>
        <w:t>AmericanStrokeAssociation</w:t>
      </w:r>
      <w:r w:rsidRPr="00BC73BB">
        <w:rPr>
          <w:rFonts w:ascii="Times New Roman" w:hAnsi="Times New Roman"/>
          <w:sz w:val="28"/>
          <w:szCs w:val="28"/>
          <w:shd w:val="clear" w:color="auto" w:fill="FFFFFF"/>
          <w:lang w:val="uk-UA"/>
        </w:rPr>
        <w:t xml:space="preserve"> / </w:t>
      </w:r>
      <w:r w:rsidRPr="00BC73BB">
        <w:rPr>
          <w:rFonts w:ascii="Times New Roman" w:hAnsi="Times New Roman"/>
          <w:sz w:val="28"/>
          <w:szCs w:val="28"/>
          <w:shd w:val="clear" w:color="auto" w:fill="FFFFFF"/>
          <w:lang w:val="en-US"/>
        </w:rPr>
        <w:t>J</w:t>
      </w:r>
      <w:r w:rsidRPr="00BC73BB">
        <w:rPr>
          <w:rFonts w:ascii="Times New Roman" w:hAnsi="Times New Roman"/>
          <w:sz w:val="28"/>
          <w:szCs w:val="28"/>
          <w:shd w:val="clear" w:color="auto" w:fill="FFFFFF"/>
          <w:lang w:val="uk-UA"/>
        </w:rPr>
        <w:t xml:space="preserve">. </w:t>
      </w:r>
      <w:r w:rsidRPr="00BC73BB">
        <w:rPr>
          <w:rFonts w:ascii="Times New Roman" w:hAnsi="Times New Roman"/>
          <w:sz w:val="28"/>
          <w:szCs w:val="28"/>
          <w:shd w:val="clear" w:color="auto" w:fill="FFFFFF"/>
          <w:lang w:val="en-US"/>
        </w:rPr>
        <w:t>C</w:t>
      </w:r>
      <w:r w:rsidRPr="00BC73BB">
        <w:rPr>
          <w:rFonts w:ascii="Times New Roman" w:hAnsi="Times New Roman"/>
          <w:sz w:val="28"/>
          <w:szCs w:val="28"/>
          <w:shd w:val="clear" w:color="auto" w:fill="FFFFFF"/>
          <w:lang w:val="uk-UA"/>
        </w:rPr>
        <w:t xml:space="preserve">. </w:t>
      </w:r>
      <w:r w:rsidRPr="00BC73BB">
        <w:rPr>
          <w:rFonts w:ascii="Times New Roman" w:hAnsi="Times New Roman"/>
          <w:sz w:val="28"/>
          <w:szCs w:val="28"/>
          <w:shd w:val="clear" w:color="auto" w:fill="FFFFFF"/>
          <w:lang w:val="en-US"/>
        </w:rPr>
        <w:t>Hemphilletal</w:t>
      </w:r>
      <w:r w:rsidRPr="00BC73BB">
        <w:rPr>
          <w:rFonts w:ascii="Times New Roman" w:hAnsi="Times New Roman"/>
          <w:sz w:val="28"/>
          <w:szCs w:val="28"/>
          <w:shd w:val="clear" w:color="auto" w:fill="FFFFFF"/>
          <w:lang w:val="uk-UA"/>
        </w:rPr>
        <w:t xml:space="preserve">. </w:t>
      </w:r>
      <w:r w:rsidRPr="00BC73BB">
        <w:rPr>
          <w:rStyle w:val="ref-journal"/>
          <w:rFonts w:ascii="Times New Roman" w:hAnsi="Times New Roman"/>
          <w:sz w:val="28"/>
          <w:szCs w:val="28"/>
          <w:shd w:val="clear" w:color="auto" w:fill="FFFFFF"/>
          <w:lang w:val="en-US"/>
        </w:rPr>
        <w:t>Stroke.</w:t>
      </w:r>
      <w:r w:rsidRPr="00BC73BB">
        <w:rPr>
          <w:rFonts w:ascii="Times New Roman" w:hAnsi="Times New Roman"/>
          <w:sz w:val="28"/>
          <w:szCs w:val="28"/>
          <w:shd w:val="clear" w:color="auto" w:fill="FFFFFF"/>
          <w:lang w:val="en-US"/>
        </w:rPr>
        <w:t xml:space="preserve">2015. </w:t>
      </w:r>
      <w:r w:rsidRPr="00BC73BB">
        <w:rPr>
          <w:rFonts w:ascii="Times New Roman" w:hAnsi="Times New Roman"/>
          <w:sz w:val="28"/>
          <w:szCs w:val="28"/>
          <w:lang w:val="en-US"/>
        </w:rPr>
        <w:t>Vol. 46</w:t>
      </w:r>
      <w:r w:rsidRPr="00BC73BB">
        <w:rPr>
          <w:rFonts w:ascii="Times New Roman" w:hAnsi="Times New Roman"/>
          <w:sz w:val="28"/>
          <w:szCs w:val="28"/>
          <w:lang w:val="uk-UA"/>
        </w:rPr>
        <w:t xml:space="preserve"> (</w:t>
      </w:r>
      <w:r w:rsidRPr="00BC73BB">
        <w:rPr>
          <w:rFonts w:ascii="Times New Roman" w:hAnsi="Times New Roman"/>
          <w:sz w:val="28"/>
          <w:szCs w:val="28"/>
          <w:lang w:val="en-US"/>
        </w:rPr>
        <w:t>7</w:t>
      </w:r>
      <w:r w:rsidRPr="00BC73BB">
        <w:rPr>
          <w:rFonts w:ascii="Times New Roman" w:hAnsi="Times New Roman"/>
          <w:sz w:val="28"/>
          <w:szCs w:val="28"/>
          <w:lang w:val="uk-UA"/>
        </w:rPr>
        <w:t>)</w:t>
      </w:r>
      <w:r w:rsidRPr="00BC73BB">
        <w:rPr>
          <w:rFonts w:ascii="Times New Roman" w:hAnsi="Times New Roman"/>
          <w:sz w:val="28"/>
          <w:szCs w:val="28"/>
          <w:lang w:val="en-US"/>
        </w:rPr>
        <w:t>. P. 2032</w:t>
      </w:r>
      <w:r w:rsidRPr="00BC73BB">
        <w:rPr>
          <w:rFonts w:ascii="Times New Roman" w:hAnsi="Times New Roman"/>
          <w:sz w:val="28"/>
          <w:szCs w:val="28"/>
        </w:rPr>
        <w:t>–</w:t>
      </w:r>
      <w:r w:rsidRPr="00BC73BB">
        <w:rPr>
          <w:rFonts w:ascii="Times New Roman" w:hAnsi="Times New Roman"/>
          <w:sz w:val="28"/>
          <w:szCs w:val="28"/>
          <w:lang w:val="en-US"/>
        </w:rPr>
        <w:t>2060.</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en-US"/>
        </w:rPr>
        <w:t>Guidelines for Adult Stroke Rehabilitation and Recovery: A Guideline for Healthcare Professionals from the American Heart Association/American Stroke Association / C. J. Winstein et al. Stroke. 2016. Vol. 47</w:t>
      </w:r>
      <w:r w:rsidRPr="00BC73BB">
        <w:rPr>
          <w:rFonts w:ascii="Times New Roman" w:hAnsi="Times New Roman"/>
          <w:sz w:val="28"/>
          <w:szCs w:val="28"/>
          <w:lang w:val="uk-UA"/>
        </w:rPr>
        <w:t xml:space="preserve"> (</w:t>
      </w:r>
      <w:r w:rsidRPr="00BC73BB">
        <w:rPr>
          <w:rFonts w:ascii="Times New Roman" w:hAnsi="Times New Roman"/>
          <w:sz w:val="28"/>
          <w:szCs w:val="28"/>
          <w:lang w:val="en-US"/>
        </w:rPr>
        <w:t>6</w:t>
      </w:r>
      <w:r w:rsidRPr="00BC73BB">
        <w:rPr>
          <w:rFonts w:ascii="Times New Roman" w:hAnsi="Times New Roman"/>
          <w:sz w:val="28"/>
          <w:szCs w:val="28"/>
          <w:lang w:val="uk-UA"/>
        </w:rPr>
        <w:t>)</w:t>
      </w:r>
      <w:r w:rsidRPr="00BC73BB">
        <w:rPr>
          <w:rFonts w:ascii="Times New Roman" w:hAnsi="Times New Roman"/>
          <w:sz w:val="28"/>
          <w:szCs w:val="28"/>
          <w:lang w:val="en-US"/>
        </w:rPr>
        <w:t>. P. e98</w:t>
      </w:r>
      <w:r w:rsidRPr="00BC73BB">
        <w:rPr>
          <w:rFonts w:ascii="Times New Roman" w:hAnsi="Times New Roman"/>
          <w:sz w:val="28"/>
          <w:szCs w:val="28"/>
        </w:rPr>
        <w:t>–</w:t>
      </w:r>
      <w:r w:rsidRPr="00BC73BB">
        <w:rPr>
          <w:rFonts w:ascii="Times New Roman" w:hAnsi="Times New Roman"/>
          <w:sz w:val="28"/>
          <w:szCs w:val="28"/>
          <w:lang w:val="en-US"/>
        </w:rPr>
        <w:t>e169.</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Style w:val="ac"/>
          <w:rFonts w:ascii="Times New Roman" w:eastAsiaTheme="majorEastAsia" w:hAnsi="Times New Roman"/>
          <w:color w:val="auto"/>
          <w:sz w:val="28"/>
          <w:szCs w:val="28"/>
          <w:u w:val="none"/>
          <w:lang w:val="en-US"/>
        </w:rPr>
      </w:pPr>
      <w:r w:rsidRPr="00BC73BB">
        <w:rPr>
          <w:rFonts w:ascii="Times New Roman" w:hAnsi="Times New Roman"/>
          <w:sz w:val="28"/>
          <w:szCs w:val="28"/>
          <w:lang w:val="en-US"/>
        </w:rPr>
        <w:t>Guidelines for the early management of patients with acute ischemic stroke: a guideline for healthcare professionals from the American Heart Association/American Stroke Association / E. C. Jauch et al. Stroke. 2013</w:t>
      </w:r>
      <w:r w:rsidRPr="00BC73BB">
        <w:rPr>
          <w:rFonts w:ascii="Times New Roman" w:hAnsi="Times New Roman"/>
          <w:sz w:val="28"/>
          <w:szCs w:val="28"/>
          <w:lang w:val="uk-UA"/>
        </w:rPr>
        <w:t xml:space="preserve">. </w:t>
      </w:r>
      <w:r w:rsidRPr="00BC73BB">
        <w:rPr>
          <w:rFonts w:ascii="Times New Roman" w:hAnsi="Times New Roman"/>
          <w:sz w:val="28"/>
          <w:szCs w:val="28"/>
          <w:lang w:val="en-US"/>
        </w:rPr>
        <w:t>Vol. 44</w:t>
      </w:r>
      <w:r w:rsidRPr="00BC73BB">
        <w:rPr>
          <w:rFonts w:ascii="Times New Roman" w:hAnsi="Times New Roman"/>
          <w:sz w:val="28"/>
          <w:szCs w:val="28"/>
          <w:lang w:val="uk-UA"/>
        </w:rPr>
        <w:t xml:space="preserve"> (</w:t>
      </w:r>
      <w:r w:rsidRPr="00BC73BB">
        <w:rPr>
          <w:rFonts w:ascii="Times New Roman" w:hAnsi="Times New Roman"/>
          <w:sz w:val="28"/>
          <w:szCs w:val="28"/>
          <w:lang w:val="en-US"/>
        </w:rPr>
        <w:t>3</w:t>
      </w:r>
      <w:r w:rsidRPr="00BC73BB">
        <w:rPr>
          <w:rFonts w:ascii="Times New Roman" w:hAnsi="Times New Roman"/>
          <w:sz w:val="28"/>
          <w:szCs w:val="28"/>
          <w:lang w:val="uk-UA"/>
        </w:rPr>
        <w:t>)</w:t>
      </w:r>
      <w:r w:rsidRPr="00BC73BB">
        <w:rPr>
          <w:rFonts w:ascii="Times New Roman" w:hAnsi="Times New Roman"/>
          <w:sz w:val="28"/>
          <w:szCs w:val="28"/>
          <w:lang w:val="en-US"/>
        </w:rPr>
        <w:t>. P. 870</w:t>
      </w:r>
      <w:r w:rsidRPr="00BC73BB">
        <w:rPr>
          <w:rFonts w:ascii="Times New Roman" w:hAnsi="Times New Roman"/>
          <w:sz w:val="28"/>
          <w:szCs w:val="28"/>
        </w:rPr>
        <w:t>–</w:t>
      </w:r>
      <w:r w:rsidRPr="00BC73BB">
        <w:rPr>
          <w:rFonts w:ascii="Times New Roman" w:hAnsi="Times New Roman"/>
          <w:sz w:val="28"/>
          <w:szCs w:val="28"/>
          <w:lang w:val="en-US"/>
        </w:rPr>
        <w:t>947.</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Style w:val="doi"/>
          <w:rFonts w:ascii="Times New Roman" w:hAnsi="Times New Roman"/>
          <w:sz w:val="28"/>
          <w:szCs w:val="28"/>
          <w:lang w:val="en-US"/>
        </w:rPr>
      </w:pPr>
      <w:r w:rsidRPr="00BC73BB">
        <w:rPr>
          <w:rFonts w:ascii="Times New Roman" w:hAnsi="Times New Roman"/>
          <w:sz w:val="28"/>
          <w:szCs w:val="28"/>
          <w:lang w:val="en-US"/>
        </w:rPr>
        <w:t>Sjakste N.</w:t>
      </w:r>
      <w:r w:rsidRPr="00BC73BB">
        <w:rPr>
          <w:rFonts w:ascii="Times New Roman" w:hAnsi="Times New Roman"/>
          <w:sz w:val="28"/>
          <w:szCs w:val="28"/>
          <w:lang w:val="uk-UA"/>
        </w:rPr>
        <w:t xml:space="preserve">, </w:t>
      </w:r>
      <w:r w:rsidRPr="00BC73BB">
        <w:rPr>
          <w:rFonts w:ascii="Times New Roman" w:hAnsi="Times New Roman"/>
          <w:sz w:val="28"/>
          <w:szCs w:val="28"/>
          <w:lang w:val="en-US"/>
        </w:rPr>
        <w:t>Gutcaits A.</w:t>
      </w:r>
      <w:r w:rsidRPr="00BC73BB">
        <w:rPr>
          <w:rFonts w:ascii="Times New Roman" w:hAnsi="Times New Roman"/>
          <w:sz w:val="28"/>
          <w:szCs w:val="28"/>
          <w:lang w:val="uk-UA"/>
        </w:rPr>
        <w:t xml:space="preserve">, </w:t>
      </w:r>
      <w:r w:rsidRPr="00BC73BB">
        <w:rPr>
          <w:rFonts w:ascii="Times New Roman" w:hAnsi="Times New Roman"/>
          <w:sz w:val="28"/>
          <w:szCs w:val="28"/>
          <w:lang w:val="en-US"/>
        </w:rPr>
        <w:t>KalvinshI.</w:t>
      </w:r>
      <w:hyperlink r:id="rId73" w:history="1">
        <w:r w:rsidRPr="00BC73BB">
          <w:rPr>
            <w:rFonts w:ascii="Times New Roman" w:hAnsi="Times New Roman"/>
            <w:sz w:val="28"/>
            <w:szCs w:val="28"/>
            <w:lang w:val="en-US"/>
          </w:rPr>
          <w:t>Mildronate: An Antiischemic Drug for Neurological Indications</w:t>
        </w:r>
      </w:hyperlink>
      <w:r w:rsidRPr="00BC73BB">
        <w:rPr>
          <w:rFonts w:ascii="Times New Roman" w:hAnsi="Times New Roman"/>
          <w:sz w:val="28"/>
          <w:szCs w:val="28"/>
          <w:lang w:val="uk-UA"/>
        </w:rPr>
        <w:t xml:space="preserve">. </w:t>
      </w:r>
      <w:r w:rsidRPr="00BC73BB">
        <w:rPr>
          <w:rFonts w:ascii="Times New Roman" w:hAnsi="Times New Roman"/>
          <w:sz w:val="28"/>
          <w:szCs w:val="28"/>
          <w:lang w:val="en-US"/>
        </w:rPr>
        <w:t>CNSDrugRev</w:t>
      </w:r>
      <w:r w:rsidRPr="00BC73BB">
        <w:rPr>
          <w:rFonts w:ascii="Times New Roman" w:hAnsi="Times New Roman"/>
          <w:sz w:val="28"/>
          <w:szCs w:val="28"/>
          <w:lang w:val="uk-UA"/>
        </w:rPr>
        <w:t xml:space="preserve">. </w:t>
      </w:r>
      <w:r w:rsidRPr="00BC73BB">
        <w:rPr>
          <w:rStyle w:val="citation-publication-date"/>
          <w:rFonts w:ascii="Times New Roman" w:eastAsia="Calibri" w:hAnsi="Times New Roman"/>
          <w:sz w:val="28"/>
          <w:szCs w:val="28"/>
          <w:lang w:val="uk-UA"/>
        </w:rPr>
        <w:t xml:space="preserve">2005. </w:t>
      </w:r>
      <w:r w:rsidRPr="00BC73BB">
        <w:rPr>
          <w:rFonts w:ascii="Times New Roman" w:hAnsi="Times New Roman"/>
          <w:sz w:val="28"/>
          <w:szCs w:val="28"/>
          <w:lang w:val="en-US"/>
        </w:rPr>
        <w:t xml:space="preserve">Vol. </w:t>
      </w:r>
      <w:r w:rsidRPr="00BC73BB">
        <w:rPr>
          <w:rFonts w:ascii="Times New Roman" w:hAnsi="Times New Roman"/>
          <w:sz w:val="28"/>
          <w:szCs w:val="28"/>
          <w:lang w:val="uk-UA"/>
        </w:rPr>
        <w:t>11 (2). Р. 151–168.</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shd w:val="clear" w:color="auto" w:fill="FFFFFF"/>
          <w:lang w:val="uk-UA"/>
        </w:rPr>
      </w:pPr>
      <w:r w:rsidRPr="00BC73BB">
        <w:rPr>
          <w:rFonts w:ascii="Times New Roman" w:hAnsi="Times New Roman"/>
          <w:sz w:val="28"/>
          <w:szCs w:val="28"/>
          <w:shd w:val="clear" w:color="auto" w:fill="FFFFFF"/>
          <w:lang w:val="uk-UA"/>
        </w:rPr>
        <w:t xml:space="preserve">Heuberger J. A. A. C., Cohen A. F. </w:t>
      </w:r>
      <w:hyperlink r:id="rId74" w:history="1">
        <w:r w:rsidRPr="00BC73BB">
          <w:rPr>
            <w:rFonts w:ascii="Times New Roman" w:hAnsi="Times New Roman"/>
            <w:sz w:val="28"/>
            <w:szCs w:val="28"/>
            <w:shd w:val="clear" w:color="auto" w:fill="FFFFFF"/>
            <w:lang w:val="uk-UA"/>
          </w:rPr>
          <w:t>Reviewof WADA ProhibitedSubstances: LimitedEvidenceforPerformance-EnhancingEffects</w:t>
        </w:r>
      </w:hyperlink>
      <w:r w:rsidRPr="00BC73BB">
        <w:rPr>
          <w:rFonts w:ascii="Times New Roman" w:hAnsi="Times New Roman"/>
          <w:sz w:val="28"/>
          <w:szCs w:val="28"/>
          <w:shd w:val="clear" w:color="auto" w:fill="FFFFFF"/>
          <w:lang w:val="uk-UA"/>
        </w:rPr>
        <w:t xml:space="preserve">. SportsMed. 2019. </w:t>
      </w:r>
      <w:r w:rsidRPr="00BC73BB">
        <w:rPr>
          <w:rFonts w:ascii="Times New Roman" w:hAnsi="Times New Roman"/>
          <w:sz w:val="28"/>
          <w:szCs w:val="28"/>
          <w:lang w:val="en-US"/>
        </w:rPr>
        <w:t xml:space="preserve">Vol. </w:t>
      </w:r>
      <w:r w:rsidRPr="00BC73BB">
        <w:rPr>
          <w:rFonts w:ascii="Times New Roman" w:hAnsi="Times New Roman"/>
          <w:sz w:val="28"/>
          <w:szCs w:val="28"/>
          <w:shd w:val="clear" w:color="auto" w:fill="FFFFFF"/>
          <w:lang w:val="uk-UA"/>
        </w:rPr>
        <w:t>49 (4). Р. 525–539.</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Машковский М. Д. Лекарственныесредства. 16-е изд., перераб. и доп. М : НоваяВолна, 2012. 1216 с.</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en-US"/>
        </w:rPr>
        <w:t>ActionPlanforStrokeinEurope</w:t>
      </w:r>
      <w:r w:rsidRPr="00BC73BB">
        <w:rPr>
          <w:rFonts w:ascii="Times New Roman" w:hAnsi="Times New Roman"/>
          <w:sz w:val="28"/>
          <w:szCs w:val="28"/>
          <w:lang w:val="uk-UA"/>
        </w:rPr>
        <w:t xml:space="preserve"> 2018–2030 / </w:t>
      </w:r>
      <w:r w:rsidRPr="00BC73BB">
        <w:rPr>
          <w:rFonts w:ascii="Times New Roman" w:hAnsi="Times New Roman"/>
          <w:sz w:val="28"/>
          <w:szCs w:val="28"/>
          <w:lang w:val="en-US"/>
        </w:rPr>
        <w:t>B</w:t>
      </w:r>
      <w:r w:rsidRPr="00BC73BB">
        <w:rPr>
          <w:rFonts w:ascii="Times New Roman" w:hAnsi="Times New Roman"/>
          <w:sz w:val="28"/>
          <w:szCs w:val="28"/>
          <w:lang w:val="uk-UA"/>
        </w:rPr>
        <w:t xml:space="preserve">. </w:t>
      </w:r>
      <w:r w:rsidRPr="00BC73BB">
        <w:rPr>
          <w:rFonts w:ascii="Times New Roman" w:hAnsi="Times New Roman"/>
          <w:sz w:val="28"/>
          <w:szCs w:val="28"/>
          <w:lang w:val="en-US"/>
        </w:rPr>
        <w:t>Norrving</w:t>
      </w:r>
      <w:r w:rsidRPr="00BC73BB">
        <w:rPr>
          <w:rFonts w:ascii="Times New Roman" w:hAnsi="Times New Roman"/>
          <w:sz w:val="28"/>
          <w:szCs w:val="28"/>
          <w:lang w:val="uk-UA"/>
        </w:rPr>
        <w:t xml:space="preserve">etal. </w:t>
      </w:r>
      <w:r w:rsidRPr="00BC73BB">
        <w:rPr>
          <w:rFonts w:ascii="Times New Roman" w:hAnsi="Times New Roman"/>
          <w:sz w:val="28"/>
          <w:szCs w:val="28"/>
          <w:lang w:val="en-US"/>
        </w:rPr>
        <w:t>Eur</w:t>
      </w:r>
      <w:r w:rsidRPr="00BC73BB">
        <w:rPr>
          <w:rFonts w:ascii="Times New Roman" w:hAnsi="Times New Roman"/>
          <w:sz w:val="28"/>
          <w:szCs w:val="28"/>
          <w:lang w:val="uk-UA"/>
        </w:rPr>
        <w:t xml:space="preserve">. </w:t>
      </w:r>
      <w:r w:rsidRPr="00BC73BB">
        <w:rPr>
          <w:rFonts w:ascii="Times New Roman" w:hAnsi="Times New Roman"/>
          <w:sz w:val="28"/>
          <w:szCs w:val="28"/>
          <w:lang w:val="en-US"/>
        </w:rPr>
        <w:t>StrokeJ</w:t>
      </w:r>
      <w:r w:rsidRPr="00BC73BB">
        <w:rPr>
          <w:rFonts w:ascii="Times New Roman" w:hAnsi="Times New Roman"/>
          <w:sz w:val="28"/>
          <w:szCs w:val="28"/>
          <w:lang w:val="uk-UA"/>
        </w:rPr>
        <w:t xml:space="preserve">. </w:t>
      </w:r>
      <w:r w:rsidRPr="00BC73BB">
        <w:rPr>
          <w:rFonts w:ascii="Times New Roman" w:hAnsi="Times New Roman"/>
          <w:sz w:val="28"/>
          <w:szCs w:val="28"/>
          <w:lang w:val="en-US"/>
        </w:rPr>
        <w:t>Vol</w:t>
      </w:r>
      <w:r w:rsidRPr="00BC73BB">
        <w:rPr>
          <w:rFonts w:ascii="Times New Roman" w:hAnsi="Times New Roman"/>
          <w:sz w:val="28"/>
          <w:szCs w:val="28"/>
          <w:lang w:val="uk-UA"/>
        </w:rPr>
        <w:t>. 3 (4). Р. 309</w:t>
      </w:r>
      <w:r w:rsidRPr="00BC73BB">
        <w:rPr>
          <w:rFonts w:ascii="Times New Roman" w:hAnsi="Times New Roman"/>
          <w:sz w:val="28"/>
          <w:szCs w:val="28"/>
          <w:lang w:val="en-US"/>
        </w:rPr>
        <w:t>–</w:t>
      </w:r>
      <w:r w:rsidRPr="00BC73BB">
        <w:rPr>
          <w:rFonts w:ascii="Times New Roman" w:hAnsi="Times New Roman"/>
          <w:sz w:val="28"/>
          <w:szCs w:val="28"/>
          <w:lang w:val="uk-UA"/>
        </w:rPr>
        <w:t>336.</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en-US"/>
        </w:rPr>
        <w:lastRenderedPageBreak/>
        <w:t>TymianskiM</w:t>
      </w:r>
      <w:r w:rsidRPr="00BC73BB">
        <w:rPr>
          <w:rFonts w:ascii="Times New Roman" w:hAnsi="Times New Roman"/>
          <w:sz w:val="28"/>
          <w:szCs w:val="28"/>
          <w:lang w:val="uk-UA"/>
        </w:rPr>
        <w:t xml:space="preserve">. </w:t>
      </w:r>
      <w:r w:rsidRPr="00BC73BB">
        <w:rPr>
          <w:rFonts w:ascii="Times New Roman" w:hAnsi="Times New Roman"/>
          <w:sz w:val="28"/>
          <w:szCs w:val="28"/>
          <w:lang w:val="en-US"/>
        </w:rPr>
        <w:t>Canmolecularandcellularneuroprotectionbetranslatedintotherapiesforpatients</w:t>
      </w:r>
      <w:r w:rsidRPr="00BC73BB">
        <w:rPr>
          <w:rFonts w:ascii="Times New Roman" w:hAnsi="Times New Roman"/>
          <w:sz w:val="28"/>
          <w:szCs w:val="28"/>
          <w:lang w:val="uk-UA"/>
        </w:rPr>
        <w:t xml:space="preserve">?: </w:t>
      </w:r>
      <w:r w:rsidRPr="00BC73BB">
        <w:rPr>
          <w:rFonts w:ascii="Times New Roman" w:hAnsi="Times New Roman"/>
          <w:sz w:val="28"/>
          <w:szCs w:val="28"/>
          <w:lang w:val="en-US"/>
        </w:rPr>
        <w:t>yes</w:t>
      </w:r>
      <w:r w:rsidRPr="00BC73BB">
        <w:rPr>
          <w:rFonts w:ascii="Times New Roman" w:hAnsi="Times New Roman"/>
          <w:sz w:val="28"/>
          <w:szCs w:val="28"/>
          <w:lang w:val="uk-UA"/>
        </w:rPr>
        <w:t xml:space="preserve">, </w:t>
      </w:r>
      <w:r w:rsidRPr="00BC73BB">
        <w:rPr>
          <w:rFonts w:ascii="Times New Roman" w:hAnsi="Times New Roman"/>
          <w:sz w:val="28"/>
          <w:szCs w:val="28"/>
          <w:lang w:val="en-US"/>
        </w:rPr>
        <w:t>butnotthewaywetrieditbefore</w:t>
      </w:r>
      <w:r w:rsidRPr="00BC73BB">
        <w:rPr>
          <w:rFonts w:ascii="Times New Roman" w:hAnsi="Times New Roman"/>
          <w:sz w:val="28"/>
          <w:szCs w:val="28"/>
          <w:lang w:val="uk-UA"/>
        </w:rPr>
        <w:t xml:space="preserve">. </w:t>
      </w:r>
      <w:r w:rsidRPr="00BC73BB">
        <w:rPr>
          <w:rFonts w:ascii="Times New Roman" w:hAnsi="Times New Roman"/>
          <w:sz w:val="28"/>
          <w:szCs w:val="28"/>
          <w:lang w:val="en-US"/>
        </w:rPr>
        <w:t>Stroke</w:t>
      </w:r>
      <w:r w:rsidRPr="00BC73BB">
        <w:rPr>
          <w:rFonts w:ascii="Times New Roman" w:hAnsi="Times New Roman"/>
          <w:sz w:val="28"/>
          <w:szCs w:val="28"/>
          <w:lang w:val="uk-UA"/>
        </w:rPr>
        <w:t xml:space="preserve">. 2010. </w:t>
      </w:r>
      <w:r w:rsidRPr="00BC73BB">
        <w:rPr>
          <w:rFonts w:ascii="Times New Roman" w:hAnsi="Times New Roman"/>
          <w:sz w:val="28"/>
          <w:szCs w:val="28"/>
          <w:lang w:val="en-US"/>
        </w:rPr>
        <w:t>Vol.</w:t>
      </w:r>
      <w:r w:rsidRPr="00BC73BB">
        <w:rPr>
          <w:rFonts w:ascii="Times New Roman" w:hAnsi="Times New Roman"/>
          <w:sz w:val="28"/>
          <w:szCs w:val="28"/>
          <w:lang w:val="uk-UA"/>
        </w:rPr>
        <w:t xml:space="preserve"> 41(10). Р. 87–90.</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en-US"/>
        </w:rPr>
        <w:t>Stroke unit care benefits patients with intracerebral hemorrhage: systematic review and meta-analysis / P.Langhorne et al. Stroke. 2013. Vol. 44</w:t>
      </w:r>
      <w:r w:rsidRPr="00BC73BB">
        <w:rPr>
          <w:rFonts w:ascii="Times New Roman" w:hAnsi="Times New Roman"/>
          <w:sz w:val="28"/>
          <w:szCs w:val="28"/>
          <w:lang w:val="uk-UA"/>
        </w:rPr>
        <w:t xml:space="preserve"> (</w:t>
      </w:r>
      <w:r w:rsidRPr="00BC73BB">
        <w:rPr>
          <w:rFonts w:ascii="Times New Roman" w:hAnsi="Times New Roman"/>
          <w:sz w:val="28"/>
          <w:szCs w:val="28"/>
          <w:lang w:val="en-US"/>
        </w:rPr>
        <w:t>11</w:t>
      </w:r>
      <w:r w:rsidRPr="00BC73BB">
        <w:rPr>
          <w:rFonts w:ascii="Times New Roman" w:hAnsi="Times New Roman"/>
          <w:sz w:val="28"/>
          <w:szCs w:val="28"/>
          <w:lang w:val="uk-UA"/>
        </w:rPr>
        <w:t>)</w:t>
      </w:r>
      <w:r w:rsidRPr="00BC73BB">
        <w:rPr>
          <w:rFonts w:ascii="Times New Roman" w:hAnsi="Times New Roman"/>
          <w:sz w:val="28"/>
          <w:szCs w:val="28"/>
          <w:lang w:val="en-US"/>
        </w:rPr>
        <w:t>. P. 3044</w:t>
      </w:r>
      <w:r w:rsidRPr="00BC73BB">
        <w:rPr>
          <w:rFonts w:ascii="Times New Roman" w:hAnsi="Times New Roman"/>
          <w:sz w:val="28"/>
          <w:szCs w:val="28"/>
        </w:rPr>
        <w:t>–</w:t>
      </w:r>
      <w:r w:rsidRPr="00BC73BB">
        <w:rPr>
          <w:rFonts w:ascii="Times New Roman" w:hAnsi="Times New Roman"/>
          <w:sz w:val="28"/>
          <w:szCs w:val="28"/>
          <w:lang w:val="en-US"/>
        </w:rPr>
        <w:t>3049.</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en-US"/>
        </w:rPr>
        <w:t>Meta-analysis of timing of endovascular aneurysm treatment in subarachnoid haemorrhage: inconsistent results of early treatment within 1 day / S. Rawal et al. J</w:t>
      </w:r>
      <w:r w:rsidRPr="00BC73BB">
        <w:rPr>
          <w:rFonts w:ascii="Times New Roman" w:hAnsi="Times New Roman"/>
          <w:sz w:val="28"/>
          <w:szCs w:val="28"/>
          <w:lang w:val="uk-UA"/>
        </w:rPr>
        <w:t>.</w:t>
      </w:r>
      <w:r w:rsidRPr="00BC73BB">
        <w:rPr>
          <w:rFonts w:ascii="Times New Roman" w:hAnsi="Times New Roman"/>
          <w:sz w:val="28"/>
          <w:szCs w:val="28"/>
          <w:lang w:val="en-US"/>
        </w:rPr>
        <w:t xml:space="preserve"> Neurol</w:t>
      </w:r>
      <w:r w:rsidRPr="00BC73BB">
        <w:rPr>
          <w:rFonts w:ascii="Times New Roman" w:hAnsi="Times New Roman"/>
          <w:sz w:val="28"/>
          <w:szCs w:val="28"/>
          <w:lang w:val="uk-UA"/>
        </w:rPr>
        <w:t>.</w:t>
      </w:r>
      <w:r w:rsidRPr="00BC73BB">
        <w:rPr>
          <w:rFonts w:ascii="Times New Roman" w:hAnsi="Times New Roman"/>
          <w:sz w:val="28"/>
          <w:szCs w:val="28"/>
          <w:lang w:val="en-US"/>
        </w:rPr>
        <w:t>, Neurosurg</w:t>
      </w:r>
      <w:r w:rsidRPr="00BC73BB">
        <w:rPr>
          <w:rFonts w:ascii="Times New Roman" w:hAnsi="Times New Roman"/>
          <w:sz w:val="28"/>
          <w:szCs w:val="28"/>
          <w:lang w:val="uk-UA"/>
        </w:rPr>
        <w:t>.</w:t>
      </w:r>
      <w:r w:rsidRPr="00BC73BB">
        <w:rPr>
          <w:rFonts w:ascii="Times New Roman" w:hAnsi="Times New Roman"/>
          <w:sz w:val="28"/>
          <w:szCs w:val="28"/>
          <w:lang w:val="en-US"/>
        </w:rPr>
        <w:t xml:space="preserve"> Psych</w:t>
      </w:r>
      <w:r w:rsidRPr="00BC73BB">
        <w:rPr>
          <w:rFonts w:ascii="Times New Roman" w:hAnsi="Times New Roman"/>
          <w:sz w:val="28"/>
          <w:szCs w:val="28"/>
          <w:lang w:val="uk-UA"/>
        </w:rPr>
        <w:t>.</w:t>
      </w:r>
      <w:r w:rsidRPr="00BC73BB">
        <w:rPr>
          <w:rFonts w:ascii="Times New Roman" w:hAnsi="Times New Roman"/>
          <w:sz w:val="28"/>
          <w:szCs w:val="28"/>
          <w:lang w:val="en-US"/>
        </w:rPr>
        <w:t xml:space="preserve"> 2017. Vol. 88</w:t>
      </w:r>
      <w:r w:rsidRPr="00BC73BB">
        <w:rPr>
          <w:rFonts w:ascii="Times New Roman" w:hAnsi="Times New Roman"/>
          <w:sz w:val="28"/>
          <w:szCs w:val="28"/>
          <w:lang w:val="uk-UA"/>
        </w:rPr>
        <w:t xml:space="preserve"> (</w:t>
      </w:r>
      <w:r w:rsidRPr="00BC73BB">
        <w:rPr>
          <w:rFonts w:ascii="Times New Roman" w:hAnsi="Times New Roman"/>
          <w:sz w:val="28"/>
          <w:szCs w:val="28"/>
          <w:lang w:val="en-US"/>
        </w:rPr>
        <w:t>3</w:t>
      </w:r>
      <w:r w:rsidRPr="00BC73BB">
        <w:rPr>
          <w:rFonts w:ascii="Times New Roman" w:hAnsi="Times New Roman"/>
          <w:sz w:val="28"/>
          <w:szCs w:val="28"/>
          <w:lang w:val="uk-UA"/>
        </w:rPr>
        <w:t>)</w:t>
      </w:r>
      <w:r w:rsidRPr="00BC73BB">
        <w:rPr>
          <w:rFonts w:ascii="Times New Roman" w:hAnsi="Times New Roman"/>
          <w:sz w:val="28"/>
          <w:szCs w:val="28"/>
          <w:lang w:val="en-US"/>
        </w:rPr>
        <w:t>. P. 241</w:t>
      </w:r>
      <w:r w:rsidRPr="00BC73BB">
        <w:rPr>
          <w:rFonts w:ascii="Times New Roman" w:hAnsi="Times New Roman"/>
          <w:sz w:val="28"/>
          <w:szCs w:val="28"/>
        </w:rPr>
        <w:t>–</w:t>
      </w:r>
      <w:r w:rsidRPr="00BC73BB">
        <w:rPr>
          <w:rFonts w:ascii="Times New Roman" w:hAnsi="Times New Roman"/>
          <w:sz w:val="28"/>
          <w:szCs w:val="28"/>
          <w:lang w:val="en-US"/>
        </w:rPr>
        <w:t>248.</w:t>
      </w:r>
    </w:p>
    <w:p w:rsidR="001F0A71" w:rsidRPr="00BC73BB" w:rsidRDefault="001F0A71" w:rsidP="00E1086D">
      <w:pPr>
        <w:pStyle w:val="a8"/>
        <w:numPr>
          <w:ilvl w:val="0"/>
          <w:numId w:val="34"/>
        </w:numPr>
        <w:shd w:val="clear" w:color="auto" w:fill="FFFFFF"/>
        <w:tabs>
          <w:tab w:val="left" w:pos="851"/>
          <w:tab w:val="left" w:pos="993"/>
        </w:tabs>
        <w:spacing w:before="0" w:beforeAutospacing="0" w:after="0" w:afterAutospacing="0" w:line="360" w:lineRule="auto"/>
        <w:ind w:left="0" w:firstLine="284"/>
        <w:jc w:val="both"/>
        <w:rPr>
          <w:sz w:val="28"/>
          <w:szCs w:val="28"/>
        </w:rPr>
      </w:pPr>
      <w:r w:rsidRPr="00BC73BB">
        <w:rPr>
          <w:sz w:val="28"/>
          <w:szCs w:val="28"/>
        </w:rPr>
        <w:t>Яворська В. О., Фломін Ю. В. Специфічне лікування ішемічного інсульту: нейропротекція</w:t>
      </w:r>
      <w:r w:rsidRPr="00BC73BB">
        <w:rPr>
          <w:bCs/>
          <w:sz w:val="28"/>
          <w:szCs w:val="28"/>
        </w:rPr>
        <w:t>[Електрона публікація]//</w:t>
      </w:r>
      <w:r w:rsidRPr="00BC73BB">
        <w:rPr>
          <w:sz w:val="28"/>
          <w:szCs w:val="28"/>
        </w:rPr>
        <w:t xml:space="preserve">Междунар. невролог. журн. 2010. № 6 (36). URL: </w:t>
      </w:r>
      <w:hyperlink r:id="rId75" w:history="1">
        <w:r w:rsidRPr="00BC73BB">
          <w:rPr>
            <w:sz w:val="28"/>
            <w:szCs w:val="28"/>
            <w:lang w:val="en-US"/>
          </w:rPr>
          <w:t>http</w:t>
        </w:r>
        <w:r w:rsidRPr="00BC73BB">
          <w:rPr>
            <w:sz w:val="28"/>
            <w:szCs w:val="28"/>
          </w:rPr>
          <w:t>://</w:t>
        </w:r>
        <w:r w:rsidRPr="00BC73BB">
          <w:rPr>
            <w:sz w:val="28"/>
            <w:szCs w:val="28"/>
            <w:lang w:val="en-US"/>
          </w:rPr>
          <w:t>www</w:t>
        </w:r>
        <w:r w:rsidRPr="00BC73BB">
          <w:rPr>
            <w:sz w:val="28"/>
            <w:szCs w:val="28"/>
          </w:rPr>
          <w:t>.</w:t>
        </w:r>
        <w:r w:rsidRPr="00BC73BB">
          <w:rPr>
            <w:sz w:val="28"/>
            <w:szCs w:val="28"/>
            <w:lang w:val="en-US"/>
          </w:rPr>
          <w:t>mif</w:t>
        </w:r>
        <w:r w:rsidRPr="00BC73BB">
          <w:rPr>
            <w:sz w:val="28"/>
            <w:szCs w:val="28"/>
          </w:rPr>
          <w:t>-</w:t>
        </w:r>
        <w:r w:rsidRPr="00BC73BB">
          <w:rPr>
            <w:sz w:val="28"/>
            <w:szCs w:val="28"/>
            <w:lang w:val="en-US"/>
          </w:rPr>
          <w:t>ua</w:t>
        </w:r>
        <w:r w:rsidRPr="00BC73BB">
          <w:rPr>
            <w:sz w:val="28"/>
            <w:szCs w:val="28"/>
          </w:rPr>
          <w:t>.</w:t>
        </w:r>
        <w:r w:rsidRPr="00BC73BB">
          <w:rPr>
            <w:sz w:val="28"/>
            <w:szCs w:val="28"/>
            <w:lang w:val="en-US"/>
          </w:rPr>
          <w:t>com</w:t>
        </w:r>
        <w:r w:rsidRPr="00BC73BB">
          <w:rPr>
            <w:sz w:val="28"/>
            <w:szCs w:val="28"/>
          </w:rPr>
          <w:t>/</w:t>
        </w:r>
        <w:r w:rsidRPr="00BC73BB">
          <w:rPr>
            <w:sz w:val="28"/>
            <w:szCs w:val="28"/>
            <w:lang w:val="en-US"/>
          </w:rPr>
          <w:t>archive</w:t>
        </w:r>
        <w:r w:rsidRPr="00BC73BB">
          <w:rPr>
            <w:sz w:val="28"/>
            <w:szCs w:val="28"/>
          </w:rPr>
          <w:t>/</w:t>
        </w:r>
        <w:r w:rsidRPr="00BC73BB">
          <w:rPr>
            <w:sz w:val="28"/>
            <w:szCs w:val="28"/>
            <w:lang w:val="en-US"/>
          </w:rPr>
          <w:t>article</w:t>
        </w:r>
        <w:r w:rsidRPr="00BC73BB">
          <w:rPr>
            <w:sz w:val="28"/>
            <w:szCs w:val="28"/>
          </w:rPr>
          <w:t>/14305</w:t>
        </w:r>
      </w:hyperlink>
      <w:r w:rsidRPr="00BC73BB">
        <w:rPr>
          <w:sz w:val="28"/>
          <w:szCs w:val="28"/>
        </w:rPr>
        <w:t xml:space="preserve">. </w:t>
      </w:r>
      <w:r w:rsidRPr="00BC73BB">
        <w:rPr>
          <w:bCs/>
          <w:sz w:val="28"/>
          <w:szCs w:val="28"/>
        </w:rPr>
        <w:t>(дата звернення: 04.09.2020).</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shd w:val="clear" w:color="auto" w:fill="FFFFFF"/>
        </w:rPr>
      </w:pPr>
      <w:r w:rsidRPr="00BC73BB">
        <w:rPr>
          <w:rFonts w:ascii="Times New Roman" w:hAnsi="Times New Roman"/>
          <w:sz w:val="28"/>
          <w:szCs w:val="28"/>
          <w:lang w:val="uk-UA"/>
        </w:rPr>
        <w:t>Черний В. И. Современнаяконцепцияцеребропротекции: основныеположения и спорныемоменты. Здоров'я Укр. 2008. № 23 (1). С. 7</w:t>
      </w:r>
      <w:r w:rsidRPr="00BC73BB">
        <w:rPr>
          <w:rFonts w:ascii="Times New Roman" w:hAnsi="Times New Roman"/>
          <w:bCs/>
          <w:sz w:val="28"/>
          <w:szCs w:val="28"/>
          <w:lang w:val="uk-UA"/>
        </w:rPr>
        <w:t>–</w:t>
      </w:r>
      <w:r w:rsidRPr="00BC73BB">
        <w:rPr>
          <w:rFonts w:ascii="Times New Roman" w:hAnsi="Times New Roman"/>
          <w:sz w:val="28"/>
          <w:szCs w:val="28"/>
          <w:lang w:val="uk-UA"/>
        </w:rPr>
        <w:t>8.</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rPr>
        <w:t>Возможности моделирования ишемии головного мозга у мелких животных</w:t>
      </w:r>
      <w:r w:rsidRPr="00BC73BB">
        <w:rPr>
          <w:rFonts w:ascii="Times New Roman" w:hAnsi="Times New Roman"/>
          <w:sz w:val="28"/>
          <w:szCs w:val="28"/>
          <w:lang w:val="uk-UA"/>
        </w:rPr>
        <w:t xml:space="preserve"> / А. Н. Стоянов и др. </w:t>
      </w:r>
      <w:r w:rsidRPr="00BC73BB">
        <w:rPr>
          <w:rFonts w:ascii="Times New Roman" w:hAnsi="Times New Roman"/>
          <w:sz w:val="28"/>
          <w:szCs w:val="28"/>
        </w:rPr>
        <w:t>Междунар. невролог. журн.</w:t>
      </w:r>
      <w:r w:rsidRPr="00BC73BB">
        <w:rPr>
          <w:rFonts w:ascii="Times New Roman" w:hAnsi="Times New Roman"/>
          <w:sz w:val="28"/>
          <w:szCs w:val="28"/>
          <w:lang w:val="uk-UA"/>
        </w:rPr>
        <w:t xml:space="preserve"> 2019. № 6 (108). С. 30</w:t>
      </w:r>
      <w:r w:rsidRPr="00BC73BB">
        <w:rPr>
          <w:rFonts w:ascii="Times New Roman" w:hAnsi="Times New Roman"/>
          <w:bCs/>
          <w:sz w:val="28"/>
          <w:szCs w:val="28"/>
          <w:lang w:val="uk-UA"/>
        </w:rPr>
        <w:t>–</w:t>
      </w:r>
      <w:r w:rsidRPr="00BC73BB">
        <w:rPr>
          <w:rFonts w:ascii="Times New Roman" w:hAnsi="Times New Roman"/>
          <w:sz w:val="28"/>
          <w:szCs w:val="28"/>
          <w:lang w:val="uk-UA"/>
        </w:rPr>
        <w:t>36.</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eastAsia="Calibri" w:hAnsi="Times New Roman"/>
          <w:sz w:val="28"/>
          <w:szCs w:val="28"/>
          <w:lang w:val="en-US"/>
        </w:rPr>
      </w:pPr>
      <w:r w:rsidRPr="00BC73BB">
        <w:rPr>
          <w:rFonts w:ascii="Times New Roman" w:hAnsi="Times New Roman"/>
          <w:spacing w:val="-2"/>
          <w:sz w:val="28"/>
          <w:szCs w:val="28"/>
        </w:rPr>
        <w:t>Цереброваскулярные эффекты блокаторов NMDA-рецепторов и мексидола на фоне аллоксанового сахарного диабета, а также их влияние на течение метаболических процессов в сетчатке монгольских песчанок в острый постперфузионный период / И. Л.Черешнюк</w:t>
      </w:r>
      <w:r w:rsidRPr="00BC73BB">
        <w:rPr>
          <w:rFonts w:ascii="Times New Roman" w:hAnsi="Times New Roman"/>
          <w:spacing w:val="-2"/>
          <w:sz w:val="28"/>
          <w:szCs w:val="28"/>
          <w:lang w:val="uk-UA"/>
        </w:rPr>
        <w:t xml:space="preserve"> и др.</w:t>
      </w:r>
      <w:r w:rsidRPr="00BC73BB">
        <w:rPr>
          <w:rFonts w:ascii="Times New Roman" w:hAnsi="Times New Roman"/>
          <w:spacing w:val="-2"/>
          <w:sz w:val="28"/>
          <w:szCs w:val="28"/>
        </w:rPr>
        <w:t xml:space="preserve"> Врач-асперант. </w:t>
      </w:r>
      <w:r w:rsidRPr="00BC73BB">
        <w:rPr>
          <w:rFonts w:ascii="Times New Roman" w:hAnsi="Times New Roman"/>
          <w:spacing w:val="-2"/>
          <w:sz w:val="28"/>
          <w:szCs w:val="28"/>
          <w:lang w:val="en-US"/>
        </w:rPr>
        <w:t xml:space="preserve">2016. </w:t>
      </w:r>
      <w:r w:rsidRPr="00BC73BB">
        <w:rPr>
          <w:rFonts w:ascii="Times New Roman" w:hAnsi="Times New Roman"/>
          <w:spacing w:val="-2"/>
          <w:sz w:val="28"/>
          <w:szCs w:val="28"/>
          <w:lang w:val="uk-UA"/>
        </w:rPr>
        <w:t xml:space="preserve">№ </w:t>
      </w:r>
      <w:r w:rsidRPr="00BC73BB">
        <w:rPr>
          <w:rFonts w:ascii="Times New Roman" w:hAnsi="Times New Roman"/>
          <w:spacing w:val="-2"/>
          <w:sz w:val="28"/>
          <w:szCs w:val="28"/>
          <w:lang w:val="en-US"/>
        </w:rPr>
        <w:t>74(1</w:t>
      </w:r>
      <w:r w:rsidRPr="00BC73BB">
        <w:rPr>
          <w:rFonts w:ascii="Times New Roman" w:hAnsi="Times New Roman"/>
          <w:spacing w:val="-2"/>
          <w:sz w:val="28"/>
          <w:szCs w:val="28"/>
          <w:lang w:val="uk-UA"/>
        </w:rPr>
        <w:t xml:space="preserve">, </w:t>
      </w:r>
      <w:r w:rsidRPr="00BC73BB">
        <w:rPr>
          <w:rFonts w:ascii="Times New Roman" w:hAnsi="Times New Roman"/>
          <w:spacing w:val="-2"/>
          <w:sz w:val="28"/>
          <w:szCs w:val="28"/>
          <w:lang w:val="en-US"/>
        </w:rPr>
        <w:t xml:space="preserve">2). </w:t>
      </w:r>
      <w:r w:rsidRPr="00BC73BB">
        <w:rPr>
          <w:rFonts w:ascii="Times New Roman" w:hAnsi="Times New Roman"/>
          <w:spacing w:val="-2"/>
          <w:sz w:val="28"/>
          <w:szCs w:val="28"/>
        </w:rPr>
        <w:t>С</w:t>
      </w:r>
      <w:r w:rsidRPr="00BC73BB">
        <w:rPr>
          <w:rFonts w:ascii="Times New Roman" w:hAnsi="Times New Roman"/>
          <w:spacing w:val="-2"/>
          <w:sz w:val="28"/>
          <w:szCs w:val="28"/>
          <w:lang w:val="en-US"/>
        </w:rPr>
        <w:t>. 295</w:t>
      </w:r>
      <w:r w:rsidRPr="00BC73BB">
        <w:rPr>
          <w:rFonts w:ascii="Times New Roman" w:hAnsi="Times New Roman"/>
          <w:bCs/>
          <w:sz w:val="28"/>
          <w:szCs w:val="28"/>
          <w:lang w:val="uk-UA"/>
        </w:rPr>
        <w:t>–</w:t>
      </w:r>
      <w:r w:rsidRPr="00BC73BB">
        <w:rPr>
          <w:rFonts w:ascii="Times New Roman" w:hAnsi="Times New Roman"/>
          <w:spacing w:val="-2"/>
          <w:sz w:val="28"/>
          <w:szCs w:val="28"/>
          <w:lang w:val="en-US"/>
        </w:rPr>
        <w:t>303.</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eastAsia="Calibri" w:hAnsi="Times New Roman"/>
          <w:sz w:val="28"/>
          <w:szCs w:val="28"/>
          <w:lang w:val="uk-UA"/>
        </w:rPr>
      </w:pPr>
      <w:r w:rsidRPr="00BC73BB">
        <w:rPr>
          <w:rFonts w:ascii="Times New Roman" w:eastAsia="Calibri" w:hAnsi="Times New Roman"/>
          <w:sz w:val="28"/>
          <w:szCs w:val="28"/>
          <w:lang w:val="en-US"/>
        </w:rPr>
        <w:t>McGraw C. P. Experimental Cerebral Infarction Effects of Pentobarbital in Mongolian Gerbils</w:t>
      </w:r>
      <w:r w:rsidRPr="00BC73BB">
        <w:rPr>
          <w:rFonts w:ascii="Times New Roman" w:eastAsia="Calibri" w:hAnsi="Times New Roman"/>
          <w:sz w:val="28"/>
          <w:szCs w:val="28"/>
          <w:lang w:val="uk-UA"/>
        </w:rPr>
        <w:t>.</w:t>
      </w:r>
      <w:r w:rsidRPr="00BC73BB">
        <w:rPr>
          <w:rFonts w:ascii="Times New Roman" w:eastAsia="Calibri" w:hAnsi="Times New Roman"/>
          <w:sz w:val="28"/>
          <w:szCs w:val="28"/>
          <w:lang w:val="en-US"/>
        </w:rPr>
        <w:t xml:space="preserve"> Arch. Neurol. 1977. Vol. 34</w:t>
      </w:r>
      <w:r w:rsidRPr="00BC73BB">
        <w:rPr>
          <w:rFonts w:ascii="Times New Roman" w:eastAsia="Calibri" w:hAnsi="Times New Roman"/>
          <w:sz w:val="28"/>
          <w:szCs w:val="28"/>
          <w:lang w:val="uk-UA"/>
        </w:rPr>
        <w:t xml:space="preserve"> (</w:t>
      </w:r>
      <w:r w:rsidRPr="00BC73BB">
        <w:rPr>
          <w:rFonts w:ascii="Times New Roman" w:eastAsia="Calibri" w:hAnsi="Times New Roman"/>
          <w:sz w:val="28"/>
          <w:szCs w:val="28"/>
          <w:lang w:val="en-US"/>
        </w:rPr>
        <w:t>6</w:t>
      </w:r>
      <w:r w:rsidRPr="00BC73BB">
        <w:rPr>
          <w:rFonts w:ascii="Times New Roman" w:eastAsia="Calibri" w:hAnsi="Times New Roman"/>
          <w:sz w:val="28"/>
          <w:szCs w:val="28"/>
          <w:lang w:val="uk-UA"/>
        </w:rPr>
        <w:t>)</w:t>
      </w:r>
      <w:r w:rsidRPr="00BC73BB">
        <w:rPr>
          <w:rFonts w:ascii="Times New Roman" w:eastAsia="Calibri" w:hAnsi="Times New Roman"/>
          <w:sz w:val="28"/>
          <w:szCs w:val="28"/>
          <w:lang w:val="en-US"/>
        </w:rPr>
        <w:t xml:space="preserve">. – </w:t>
      </w:r>
      <w:r w:rsidRPr="00BC73BB">
        <w:rPr>
          <w:rFonts w:ascii="Times New Roman" w:eastAsia="Calibri" w:hAnsi="Times New Roman"/>
          <w:sz w:val="28"/>
          <w:szCs w:val="28"/>
        </w:rPr>
        <w:t>Р</w:t>
      </w:r>
      <w:r w:rsidRPr="00BC73BB">
        <w:rPr>
          <w:rFonts w:ascii="Times New Roman" w:eastAsia="Calibri" w:hAnsi="Times New Roman"/>
          <w:sz w:val="28"/>
          <w:szCs w:val="28"/>
          <w:lang w:val="en-US"/>
        </w:rPr>
        <w:t>.334–336</w:t>
      </w:r>
      <w:r w:rsidRPr="00BC73BB">
        <w:rPr>
          <w:rFonts w:ascii="Times New Roman" w:eastAsia="Calibri" w:hAnsi="Times New Roman"/>
          <w:sz w:val="28"/>
          <w:szCs w:val="28"/>
          <w:lang w:val="uk-UA"/>
        </w:rPr>
        <w:t>.</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Ходаківський О. А., Волощук Н. І., Жабоєдова Н. В.Підготовка (навчання) на базі навчально-науково-дослідної лабораторії «Фармадар» як складова освітньої підготовки доктора філософії за спеціальністю «222 Медицина».Вісн. Вінницького НМУ”. 2019. Т. 23, № 3. С. 486</w:t>
      </w:r>
      <w:r w:rsidRPr="00BC73BB">
        <w:rPr>
          <w:rFonts w:ascii="Times New Roman" w:hAnsi="Times New Roman"/>
          <w:bCs/>
          <w:sz w:val="28"/>
          <w:szCs w:val="28"/>
          <w:lang w:val="uk-UA"/>
        </w:rPr>
        <w:t>–</w:t>
      </w:r>
      <w:r w:rsidRPr="00BC73BB">
        <w:rPr>
          <w:rFonts w:ascii="Times New Roman" w:hAnsi="Times New Roman"/>
          <w:sz w:val="28"/>
          <w:szCs w:val="28"/>
          <w:lang w:val="uk-UA"/>
        </w:rPr>
        <w:t>489.</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Кривонос О. В., Амосова Н. А., Смоленцева И. Г. Применениеантагонистаглутаматных</w:t>
      </w:r>
      <w:r w:rsidRPr="00BC73BB">
        <w:rPr>
          <w:rFonts w:ascii="Times New Roman" w:hAnsi="Times New Roman"/>
          <w:sz w:val="28"/>
          <w:szCs w:val="28"/>
        </w:rPr>
        <w:t>NMDA</w:t>
      </w:r>
      <w:r w:rsidRPr="00BC73BB">
        <w:rPr>
          <w:rFonts w:ascii="Times New Roman" w:hAnsi="Times New Roman"/>
          <w:sz w:val="28"/>
          <w:szCs w:val="28"/>
          <w:lang w:val="uk-UA"/>
        </w:rPr>
        <w:t xml:space="preserve">-рецепторов ПК-Мерц в остромпериодеинсульта. Журн. неврол. и психиатр. </w:t>
      </w:r>
      <w:r w:rsidRPr="00BC73BB">
        <w:rPr>
          <w:rFonts w:ascii="Times New Roman" w:hAnsi="Times New Roman"/>
          <w:sz w:val="28"/>
          <w:szCs w:val="28"/>
        </w:rPr>
        <w:t xml:space="preserve">2009. </w:t>
      </w:r>
      <w:r w:rsidRPr="00BC73BB">
        <w:rPr>
          <w:rFonts w:ascii="Times New Roman" w:hAnsi="Times New Roman"/>
          <w:sz w:val="28"/>
          <w:szCs w:val="28"/>
          <w:lang w:val="uk-UA"/>
        </w:rPr>
        <w:t xml:space="preserve">№ </w:t>
      </w:r>
      <w:r w:rsidRPr="00BC73BB">
        <w:rPr>
          <w:rFonts w:ascii="Times New Roman" w:hAnsi="Times New Roman"/>
          <w:sz w:val="28"/>
          <w:szCs w:val="28"/>
        </w:rPr>
        <w:t>4. С. 72–74.</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sz w:val="28"/>
          <w:szCs w:val="28"/>
        </w:rPr>
        <w:lastRenderedPageBreak/>
        <w:t>Карабань И.Н. Применение блокатора глутаматных рецепторов амантадина в неврологии</w:t>
      </w:r>
      <w:r w:rsidRPr="00BC73BB">
        <w:rPr>
          <w:rFonts w:ascii="Times New Roman" w:hAnsi="Times New Roman"/>
          <w:sz w:val="28"/>
          <w:szCs w:val="28"/>
          <w:lang w:val="uk-UA"/>
        </w:rPr>
        <w:t xml:space="preserve">. </w:t>
      </w:r>
      <w:r w:rsidRPr="00BC73BB">
        <w:rPr>
          <w:rFonts w:ascii="Times New Roman" w:hAnsi="Times New Roman"/>
          <w:sz w:val="28"/>
          <w:szCs w:val="28"/>
        </w:rPr>
        <w:t xml:space="preserve">Междунар. невролог. журн.2012. </w:t>
      </w:r>
      <w:r w:rsidRPr="00BC73BB">
        <w:rPr>
          <w:rFonts w:ascii="Times New Roman" w:hAnsi="Times New Roman"/>
          <w:sz w:val="28"/>
          <w:szCs w:val="28"/>
          <w:lang w:val="uk-UA"/>
        </w:rPr>
        <w:t xml:space="preserve">№ </w:t>
      </w:r>
      <w:r w:rsidRPr="00BC73BB">
        <w:rPr>
          <w:rFonts w:ascii="Times New Roman" w:hAnsi="Times New Roman"/>
          <w:sz w:val="28"/>
          <w:szCs w:val="28"/>
        </w:rPr>
        <w:t xml:space="preserve">2(48). </w:t>
      </w:r>
      <w:r w:rsidRPr="00BC73BB">
        <w:rPr>
          <w:rFonts w:ascii="Times New Roman" w:hAnsi="Times New Roman"/>
          <w:sz w:val="28"/>
          <w:szCs w:val="28"/>
          <w:lang w:val="uk-UA"/>
        </w:rPr>
        <w:t>С. 195</w:t>
      </w:r>
      <w:r w:rsidRPr="00BC73BB">
        <w:rPr>
          <w:rFonts w:ascii="Times New Roman" w:hAnsi="Times New Roman"/>
          <w:bCs/>
          <w:sz w:val="28"/>
          <w:szCs w:val="28"/>
          <w:lang w:val="uk-UA"/>
        </w:rPr>
        <w:t>–</w:t>
      </w:r>
      <w:r w:rsidRPr="00BC73BB">
        <w:rPr>
          <w:rFonts w:ascii="Times New Roman" w:hAnsi="Times New Roman"/>
          <w:sz w:val="28"/>
          <w:szCs w:val="28"/>
          <w:lang w:val="uk-UA"/>
        </w:rPr>
        <w:t>201.</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rPr>
        <w:t>Никонов В.В., Савицкая И.Б. Роль антагонистов глутаматных рецепторов (ПК-Мерц) в лечении повреждений мозга: обзор литературы</w:t>
      </w:r>
      <w:r w:rsidRPr="00BC73BB">
        <w:rPr>
          <w:rFonts w:ascii="Times New Roman" w:hAnsi="Times New Roman"/>
          <w:sz w:val="28"/>
          <w:szCs w:val="28"/>
          <w:lang w:val="uk-UA"/>
        </w:rPr>
        <w:t>.</w:t>
      </w:r>
      <w:r w:rsidRPr="00BC73BB">
        <w:rPr>
          <w:rFonts w:ascii="Times New Roman" w:hAnsi="Times New Roman"/>
          <w:bCs/>
          <w:sz w:val="28"/>
          <w:szCs w:val="28"/>
          <w:lang w:val="uk-UA"/>
        </w:rPr>
        <w:t>Мед. неотложныхсостояний</w:t>
      </w:r>
      <w:r w:rsidRPr="00086D89">
        <w:rPr>
          <w:rFonts w:ascii="Times New Roman" w:hAnsi="Times New Roman"/>
          <w:sz w:val="28"/>
          <w:szCs w:val="28"/>
        </w:rPr>
        <w:t xml:space="preserve">2012. </w:t>
      </w:r>
      <w:r w:rsidRPr="00BC73BB">
        <w:rPr>
          <w:rFonts w:ascii="Times New Roman" w:hAnsi="Times New Roman"/>
          <w:sz w:val="28"/>
          <w:szCs w:val="28"/>
          <w:lang w:val="uk-UA"/>
        </w:rPr>
        <w:t xml:space="preserve">№ </w:t>
      </w:r>
      <w:r w:rsidRPr="00BC73BB">
        <w:rPr>
          <w:rFonts w:ascii="Times New Roman" w:hAnsi="Times New Roman"/>
          <w:sz w:val="28"/>
          <w:szCs w:val="28"/>
          <w:lang w:val="en-US"/>
        </w:rPr>
        <w:t xml:space="preserve">6. </w:t>
      </w:r>
      <w:r w:rsidRPr="00BC73BB">
        <w:rPr>
          <w:rFonts w:ascii="Times New Roman" w:hAnsi="Times New Roman"/>
          <w:sz w:val="28"/>
          <w:szCs w:val="28"/>
        </w:rPr>
        <w:t>С</w:t>
      </w:r>
      <w:r w:rsidRPr="00BC73BB">
        <w:rPr>
          <w:rFonts w:ascii="Times New Roman" w:hAnsi="Times New Roman"/>
          <w:sz w:val="28"/>
          <w:szCs w:val="28"/>
          <w:lang w:val="en-US"/>
        </w:rPr>
        <w:t>.5–8.</w:t>
      </w:r>
    </w:p>
    <w:p w:rsidR="001F0A71" w:rsidRPr="00BC73BB" w:rsidRDefault="00F9347E" w:rsidP="00E1086D">
      <w:pPr>
        <w:pStyle w:val="a5"/>
        <w:numPr>
          <w:ilvl w:val="0"/>
          <w:numId w:val="34"/>
        </w:numPr>
        <w:tabs>
          <w:tab w:val="left" w:pos="709"/>
          <w:tab w:val="left" w:pos="851"/>
          <w:tab w:val="left" w:pos="993"/>
        </w:tabs>
        <w:spacing w:after="0" w:line="360" w:lineRule="auto"/>
        <w:ind w:left="0" w:firstLine="284"/>
        <w:jc w:val="both"/>
        <w:rPr>
          <w:rFonts w:ascii="Times New Roman" w:hAnsi="Times New Roman"/>
          <w:sz w:val="28"/>
          <w:szCs w:val="28"/>
          <w:lang w:val="uk-UA"/>
        </w:rPr>
      </w:pPr>
      <w:hyperlink r:id="rId76" w:history="1">
        <w:r w:rsidR="001F0A71" w:rsidRPr="00BC73BB">
          <w:rPr>
            <w:rFonts w:ascii="Times New Roman" w:hAnsi="Times New Roman"/>
            <w:sz w:val="28"/>
            <w:szCs w:val="28"/>
            <w:lang w:val="uk-UA"/>
          </w:rPr>
          <w:t>Mechanismof NMDA receptorchannelblockbyMK</w:t>
        </w:r>
        <w:r w:rsidR="001F0A71" w:rsidRPr="00BC73BB">
          <w:rPr>
            <w:rFonts w:ascii="Times New Roman" w:hAnsi="Times New Roman"/>
            <w:sz w:val="28"/>
            <w:szCs w:val="28"/>
            <w:lang w:val="en-US"/>
          </w:rPr>
          <w:t xml:space="preserve">-801 </w:t>
        </w:r>
        <w:r w:rsidR="001F0A71" w:rsidRPr="00BC73BB">
          <w:rPr>
            <w:rFonts w:ascii="Times New Roman" w:hAnsi="Times New Roman"/>
            <w:sz w:val="28"/>
            <w:szCs w:val="28"/>
            <w:lang w:val="uk-UA"/>
          </w:rPr>
          <w:t>andmemantine</w:t>
        </w:r>
      </w:hyperlink>
      <w:r w:rsidR="001F0A71" w:rsidRPr="00BC73BB">
        <w:rPr>
          <w:rFonts w:ascii="Times New Roman" w:hAnsi="Times New Roman"/>
          <w:sz w:val="28"/>
          <w:szCs w:val="28"/>
          <w:lang w:val="uk-UA"/>
        </w:rPr>
        <w:t xml:space="preserve"> /X. Song</w:t>
      </w:r>
      <w:r w:rsidR="001F0A71" w:rsidRPr="00BC73BB">
        <w:rPr>
          <w:rFonts w:ascii="Times New Roman" w:hAnsi="Times New Roman"/>
          <w:sz w:val="28"/>
          <w:szCs w:val="28"/>
          <w:lang w:val="en-US"/>
        </w:rPr>
        <w:t xml:space="preserve">et al. </w:t>
      </w:r>
      <w:r w:rsidR="001F0A71" w:rsidRPr="00BC73BB">
        <w:rPr>
          <w:rFonts w:ascii="Times New Roman" w:hAnsi="Times New Roman"/>
          <w:sz w:val="28"/>
          <w:szCs w:val="28"/>
          <w:lang w:val="uk-UA"/>
        </w:rPr>
        <w:t>Nature. 2018. № 556 (7702). Р. 515</w:t>
      </w:r>
      <w:r w:rsidR="001F0A71" w:rsidRPr="00BC73BB">
        <w:rPr>
          <w:rFonts w:ascii="Times New Roman" w:hAnsi="Times New Roman"/>
          <w:sz w:val="28"/>
          <w:szCs w:val="28"/>
          <w:lang w:val="en-US"/>
        </w:rPr>
        <w:t>–</w:t>
      </w:r>
      <w:r w:rsidR="001F0A71" w:rsidRPr="00BC73BB">
        <w:rPr>
          <w:rFonts w:ascii="Times New Roman" w:hAnsi="Times New Roman"/>
          <w:sz w:val="28"/>
          <w:szCs w:val="28"/>
          <w:lang w:val="uk-UA"/>
        </w:rPr>
        <w:t>519.</w:t>
      </w:r>
    </w:p>
    <w:p w:rsidR="001F0A71" w:rsidRPr="00BC73BB" w:rsidRDefault="001F0A71" w:rsidP="00E1086D">
      <w:pPr>
        <w:pStyle w:val="a5"/>
        <w:numPr>
          <w:ilvl w:val="0"/>
          <w:numId w:val="34"/>
        </w:numPr>
        <w:tabs>
          <w:tab w:val="left" w:pos="709"/>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sz w:val="28"/>
          <w:szCs w:val="28"/>
          <w:lang w:val="uk-UA"/>
        </w:rPr>
        <w:t>Соколова Л. І. Довбонос Т. А., Шандюк В. Ю. Застосування сульфату магнію при ішемічному інсульті. Укр. неврологіч. журн. 2015. №4 (37). С.91</w:t>
      </w:r>
      <w:r w:rsidRPr="00BC73BB">
        <w:rPr>
          <w:rFonts w:ascii="Times New Roman" w:hAnsi="Times New Roman"/>
          <w:sz w:val="28"/>
          <w:szCs w:val="28"/>
        </w:rPr>
        <w:t>–</w:t>
      </w:r>
      <w:r w:rsidRPr="00BC73BB">
        <w:rPr>
          <w:rFonts w:ascii="Times New Roman" w:hAnsi="Times New Roman"/>
          <w:sz w:val="28"/>
          <w:szCs w:val="28"/>
          <w:lang w:val="uk-UA"/>
        </w:rPr>
        <w:t>97.</w:t>
      </w:r>
    </w:p>
    <w:p w:rsidR="001F0A71" w:rsidRPr="00BC73BB" w:rsidRDefault="001F0A71" w:rsidP="00E1086D">
      <w:pPr>
        <w:pStyle w:val="a5"/>
        <w:numPr>
          <w:ilvl w:val="0"/>
          <w:numId w:val="34"/>
        </w:numPr>
        <w:tabs>
          <w:tab w:val="left" w:pos="709"/>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Prehospitaluseofmagnesiumsulfateasneuroprotectioninacutestroke / J.L. Saveretal. N. Engl. J. Med. 2015. </w:t>
      </w:r>
      <w:r w:rsidRPr="00BC73BB">
        <w:rPr>
          <w:rFonts w:ascii="Times New Roman" w:hAnsi="Times New Roman"/>
          <w:sz w:val="28"/>
          <w:szCs w:val="28"/>
          <w:lang w:val="en-US"/>
        </w:rPr>
        <w:t xml:space="preserve">Vol. </w:t>
      </w:r>
      <w:r w:rsidRPr="00BC73BB">
        <w:rPr>
          <w:rFonts w:ascii="Times New Roman" w:hAnsi="Times New Roman"/>
          <w:sz w:val="28"/>
          <w:szCs w:val="28"/>
          <w:lang w:val="uk-UA"/>
        </w:rPr>
        <w:t>372(6). Р. 528–536</w:t>
      </w:r>
      <w:r w:rsidRPr="00BC73BB">
        <w:rPr>
          <w:rFonts w:ascii="Times New Roman" w:hAnsi="Times New Roman"/>
          <w:sz w:val="28"/>
          <w:szCs w:val="28"/>
          <w:lang w:val="en-US"/>
        </w:rPr>
        <w:t>.</w:t>
      </w:r>
    </w:p>
    <w:p w:rsidR="001F0A71" w:rsidRPr="00BC73BB" w:rsidRDefault="00F9347E" w:rsidP="00E1086D">
      <w:pPr>
        <w:pStyle w:val="a5"/>
        <w:numPr>
          <w:ilvl w:val="0"/>
          <w:numId w:val="34"/>
        </w:numPr>
        <w:tabs>
          <w:tab w:val="left" w:pos="709"/>
          <w:tab w:val="left" w:pos="851"/>
          <w:tab w:val="left" w:pos="993"/>
        </w:tabs>
        <w:spacing w:after="0" w:line="360" w:lineRule="auto"/>
        <w:ind w:left="0" w:firstLine="284"/>
        <w:jc w:val="both"/>
        <w:rPr>
          <w:rFonts w:ascii="Times New Roman" w:hAnsi="Times New Roman"/>
          <w:sz w:val="28"/>
          <w:szCs w:val="28"/>
          <w:lang w:val="uk-UA"/>
        </w:rPr>
      </w:pPr>
      <w:hyperlink r:id="rId77" w:history="1">
        <w:r w:rsidR="001F0A71" w:rsidRPr="00BC73BB">
          <w:rPr>
            <w:rFonts w:ascii="Times New Roman" w:hAnsi="Times New Roman"/>
            <w:sz w:val="28"/>
            <w:szCs w:val="28"/>
            <w:lang w:val="uk-UA"/>
          </w:rPr>
          <w:t>IntravenousMagnesiumSulfateinAcuteStroke</w:t>
        </w:r>
      </w:hyperlink>
      <w:r w:rsidR="001F0A71" w:rsidRPr="00BC73BB">
        <w:rPr>
          <w:rFonts w:ascii="Times New Roman" w:hAnsi="Times New Roman"/>
          <w:sz w:val="28"/>
          <w:szCs w:val="28"/>
          <w:lang w:val="en-US"/>
        </w:rPr>
        <w:t xml:space="preserve"> /</w:t>
      </w:r>
      <w:r w:rsidR="001F0A71" w:rsidRPr="00BC73BB">
        <w:rPr>
          <w:rFonts w:ascii="Times New Roman" w:hAnsi="Times New Roman"/>
          <w:sz w:val="28"/>
          <w:szCs w:val="28"/>
          <w:lang w:val="uk-UA"/>
        </w:rPr>
        <w:t xml:space="preserve"> K. I. Avgerinos</w:t>
      </w:r>
      <w:r w:rsidR="001F0A71" w:rsidRPr="00BC73BB">
        <w:rPr>
          <w:rFonts w:ascii="Times New Roman" w:hAnsi="Times New Roman"/>
          <w:sz w:val="28"/>
          <w:szCs w:val="28"/>
          <w:lang w:val="en-US"/>
        </w:rPr>
        <w:t xml:space="preserve">et al. </w:t>
      </w:r>
      <w:r w:rsidR="001F0A71" w:rsidRPr="00BC73BB">
        <w:rPr>
          <w:rFonts w:ascii="Times New Roman" w:hAnsi="Times New Roman"/>
          <w:sz w:val="28"/>
          <w:szCs w:val="28"/>
          <w:lang w:val="uk-UA"/>
        </w:rPr>
        <w:t xml:space="preserve">Stroke. 2019. </w:t>
      </w:r>
      <w:r w:rsidR="001F0A71" w:rsidRPr="00BC73BB">
        <w:rPr>
          <w:rFonts w:ascii="Times New Roman" w:hAnsi="Times New Roman"/>
          <w:sz w:val="28"/>
          <w:szCs w:val="28"/>
          <w:lang w:val="en-US"/>
        </w:rPr>
        <w:t xml:space="preserve">Vol. </w:t>
      </w:r>
      <w:r w:rsidR="001F0A71" w:rsidRPr="00BC73BB">
        <w:rPr>
          <w:rFonts w:ascii="Times New Roman" w:hAnsi="Times New Roman"/>
          <w:sz w:val="28"/>
          <w:szCs w:val="28"/>
          <w:lang w:val="uk-UA"/>
        </w:rPr>
        <w:t xml:space="preserve">50 (4). </w:t>
      </w:r>
      <w:r w:rsidR="001F0A71" w:rsidRPr="00BC73BB">
        <w:rPr>
          <w:rFonts w:ascii="Times New Roman" w:hAnsi="Times New Roman"/>
          <w:sz w:val="28"/>
          <w:szCs w:val="28"/>
          <w:lang w:val="en-US"/>
        </w:rPr>
        <w:t xml:space="preserve">Vol. </w:t>
      </w:r>
      <w:r w:rsidR="001F0A71" w:rsidRPr="00BC73BB">
        <w:rPr>
          <w:rFonts w:ascii="Times New Roman" w:hAnsi="Times New Roman"/>
          <w:sz w:val="28"/>
          <w:szCs w:val="28"/>
          <w:lang w:val="uk-UA"/>
        </w:rPr>
        <w:t>931–938.</w:t>
      </w:r>
    </w:p>
    <w:p w:rsidR="001F0A71" w:rsidRPr="00BC73BB" w:rsidRDefault="001F0A71" w:rsidP="00E1086D">
      <w:pPr>
        <w:pStyle w:val="a5"/>
        <w:numPr>
          <w:ilvl w:val="0"/>
          <w:numId w:val="34"/>
        </w:numPr>
        <w:tabs>
          <w:tab w:val="left" w:pos="709"/>
          <w:tab w:val="left" w:pos="851"/>
          <w:tab w:val="left" w:pos="993"/>
        </w:tabs>
        <w:spacing w:after="0" w:line="360" w:lineRule="auto"/>
        <w:ind w:left="0" w:firstLine="284"/>
        <w:jc w:val="both"/>
        <w:rPr>
          <w:rFonts w:ascii="Times New Roman" w:hAnsi="Times New Roman"/>
          <w:sz w:val="28"/>
          <w:szCs w:val="28"/>
          <w:lang w:val="uk-UA"/>
        </w:rPr>
      </w:pPr>
      <w:bookmarkStart w:id="39" w:name="_Hlk50150151"/>
      <w:r w:rsidRPr="00BC73BB">
        <w:rPr>
          <w:rFonts w:ascii="Times New Roman" w:hAnsi="Times New Roman"/>
          <w:sz w:val="28"/>
          <w:szCs w:val="28"/>
          <w:lang w:val="uk-UA"/>
        </w:rPr>
        <w:t xml:space="preserve">Засіб для лікування порушень пам'яті: пат. 23451, Україна: МКІ А61К31/074 31/535; заявл. 16.06.1994; опубл. 29.12.1999, Бюл. № 8. 6 с. </w:t>
      </w:r>
      <w:bookmarkEnd w:id="39"/>
    </w:p>
    <w:p w:rsidR="001F0A71" w:rsidRPr="00BC73BB" w:rsidRDefault="001F0A71" w:rsidP="00E1086D">
      <w:pPr>
        <w:pStyle w:val="a5"/>
        <w:numPr>
          <w:ilvl w:val="0"/>
          <w:numId w:val="34"/>
        </w:numPr>
        <w:shd w:val="clear" w:color="auto" w:fill="FFFFFF"/>
        <w:tabs>
          <w:tab w:val="left" w:pos="-1080"/>
          <w:tab w:val="left" w:pos="851"/>
          <w:tab w:val="left" w:pos="993"/>
        </w:tabs>
        <w:spacing w:after="0" w:line="360" w:lineRule="auto"/>
        <w:ind w:left="0" w:firstLine="284"/>
        <w:jc w:val="both"/>
        <w:rPr>
          <w:rFonts w:ascii="Times New Roman" w:hAnsi="Times New Roman"/>
          <w:sz w:val="28"/>
          <w:szCs w:val="28"/>
          <w:lang w:val="uk-UA"/>
        </w:rPr>
      </w:pPr>
      <w:bookmarkStart w:id="40" w:name="_Hlk50150467"/>
      <w:r w:rsidRPr="00BC73BB">
        <w:rPr>
          <w:rFonts w:ascii="Times New Roman" w:hAnsi="Times New Roman"/>
          <w:sz w:val="28"/>
          <w:szCs w:val="28"/>
          <w:lang w:val="uk-UA"/>
        </w:rPr>
        <w:t>1-Адамантилетилокси-3-діалкіламіно-2-пропанол гідрохлориди, які виявляють ноотропну дію: пат. 58841 А, Україна, МКІ 7 А61К31/075, 31/535; заявл. 08.11.2002; опубл. 15.08.2003, Бюл. № 8. 3 с.</w:t>
      </w:r>
      <w:bookmarkEnd w:id="40"/>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Скринінг актопротекторної дії нових похідних адамантану / О. П. Лонська та ін. </w:t>
      </w:r>
      <w:r w:rsidRPr="00BC73BB">
        <w:rPr>
          <w:rFonts w:ascii="Times New Roman" w:hAnsi="Times New Roman"/>
          <w:sz w:val="28"/>
          <w:szCs w:val="28"/>
        </w:rPr>
        <w:t>Biomed</w:t>
      </w:r>
      <w:r w:rsidRPr="00BC73BB">
        <w:rPr>
          <w:rFonts w:ascii="Times New Roman" w:hAnsi="Times New Roman"/>
          <w:sz w:val="28"/>
          <w:szCs w:val="28"/>
          <w:lang w:val="uk-UA"/>
        </w:rPr>
        <w:t xml:space="preserve">. </w:t>
      </w:r>
      <w:r w:rsidRPr="00BC73BB">
        <w:rPr>
          <w:rFonts w:ascii="Times New Roman" w:hAnsi="Times New Roman"/>
          <w:sz w:val="28"/>
          <w:szCs w:val="28"/>
        </w:rPr>
        <w:t>biosocialanthrop</w:t>
      </w:r>
      <w:r w:rsidRPr="00BC73BB">
        <w:rPr>
          <w:rFonts w:ascii="Times New Roman" w:hAnsi="Times New Roman"/>
          <w:sz w:val="28"/>
          <w:szCs w:val="28"/>
          <w:lang w:val="uk-UA"/>
        </w:rPr>
        <w:t>. 2007. № 9. С. 134–137.</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Скринінг церебропротекторного ефекту серед нових похідних адамантану в умовах експериментальної ішемії головного мозку / О. А. Ходаківський та ін. Фармак. та лікарська токсик. 2010. № 3 (16). С. 8–11.</w:t>
      </w:r>
    </w:p>
    <w:p w:rsidR="001F0A71" w:rsidRPr="00BC73BB" w:rsidRDefault="001F0A71" w:rsidP="00E1086D">
      <w:pPr>
        <w:pStyle w:val="a5"/>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Фармацевтична композиція 1-адамантилетокси-3-діетиламіно-2-пропанол гідрохлорид або його фармацевтично прийнятних солей для створення лікарських засобів для лікування кардіоваскулярної патології: пат. 105475, Україна, МПК (2014.01) С07С 13/615 (2006.01); заявл. 24.12.2013; опубл. 10.04.2013, Бюл. № 9. 4с. </w:t>
      </w:r>
    </w:p>
    <w:p w:rsidR="001F0A71" w:rsidRPr="00BC73BB" w:rsidRDefault="001F0A71" w:rsidP="00E1086D">
      <w:pPr>
        <w:pStyle w:val="a5"/>
        <w:numPr>
          <w:ilvl w:val="0"/>
          <w:numId w:val="34"/>
        </w:numPr>
        <w:tabs>
          <w:tab w:val="left" w:pos="-1080"/>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Фармацевтична композиція 1-адамантилетокси-3-діетиламіно-2-пропанол гідрохлорид або його фармацевтично прийнятних солей для створення лікарських засобів для лікування цереброваскулярної патології патології: пат. 106032, Україна, </w:t>
      </w:r>
      <w:r w:rsidRPr="00BC73BB">
        <w:rPr>
          <w:rFonts w:ascii="Times New Roman" w:hAnsi="Times New Roman"/>
          <w:sz w:val="28"/>
          <w:szCs w:val="28"/>
          <w:lang w:val="uk-UA"/>
        </w:rPr>
        <w:lastRenderedPageBreak/>
        <w:t>МПК (2014.01) С07С 13/615 (2006.01); заявл. 24.12.2013; опубл. 10.07.2014, Бюл. № 13. 4 с.</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Style w:val="ac"/>
          <w:rFonts w:ascii="Times New Roman" w:eastAsiaTheme="majorEastAsia" w:hAnsi="Times New Roman"/>
          <w:color w:val="auto"/>
          <w:sz w:val="28"/>
          <w:szCs w:val="28"/>
          <w:u w:val="none"/>
          <w:lang w:val="uk-UA"/>
        </w:rPr>
      </w:pPr>
      <w:r w:rsidRPr="00BC73BB">
        <w:rPr>
          <w:rFonts w:ascii="Times New Roman" w:hAnsi="Times New Roman"/>
          <w:spacing w:val="-2"/>
          <w:sz w:val="28"/>
          <w:szCs w:val="28"/>
          <w:lang w:val="uk-UA"/>
        </w:rPr>
        <w:t>Ходаківський О. А. Вплив адемолу на показники енергетичного обміну в головному мозку щурів із моделлю гострої церебральної ішемії. Буковинський мед. вісн. 2013. Т. 17, № 2. С. 140</w:t>
      </w:r>
      <w:r w:rsidRPr="00BC73BB">
        <w:rPr>
          <w:rFonts w:ascii="Times New Roman" w:hAnsi="Times New Roman"/>
          <w:sz w:val="28"/>
          <w:szCs w:val="28"/>
          <w:lang w:val="uk-UA"/>
        </w:rPr>
        <w:t>–</w:t>
      </w:r>
      <w:r w:rsidRPr="00BC73BB">
        <w:rPr>
          <w:rFonts w:ascii="Times New Roman" w:hAnsi="Times New Roman"/>
          <w:spacing w:val="-2"/>
          <w:sz w:val="28"/>
          <w:szCs w:val="28"/>
          <w:lang w:val="uk-UA"/>
        </w:rPr>
        <w:t>143.</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Style w:val="ac"/>
          <w:rFonts w:ascii="Times New Roman" w:eastAsiaTheme="majorEastAsia" w:hAnsi="Times New Roman"/>
          <w:color w:val="auto"/>
          <w:sz w:val="28"/>
          <w:szCs w:val="28"/>
          <w:u w:val="none"/>
          <w:lang w:val="uk-UA"/>
        </w:rPr>
      </w:pPr>
      <w:r w:rsidRPr="00BC73BB">
        <w:rPr>
          <w:rFonts w:ascii="Times New Roman" w:hAnsi="Times New Roman"/>
          <w:sz w:val="28"/>
          <w:szCs w:val="28"/>
          <w:lang w:val="uk-UA"/>
        </w:rPr>
        <w:t>Ходаківський О. А.</w:t>
      </w:r>
      <w:r w:rsidRPr="00BC73BB">
        <w:rPr>
          <w:rFonts w:ascii="Times New Roman" w:hAnsi="Times New Roman"/>
          <w:spacing w:val="4"/>
          <w:sz w:val="28"/>
          <w:szCs w:val="28"/>
          <w:lang w:val="uk-UA"/>
        </w:rPr>
        <w:t xml:space="preserve"> Вплив адемолу на стан оксидантно-антиоксидантного балансу в головному мозку щурів із моделлю гострої церебральної ішемії.</w:t>
      </w:r>
      <w:r w:rsidRPr="00BC73BB">
        <w:rPr>
          <w:rFonts w:ascii="Times New Roman" w:hAnsi="Times New Roman"/>
          <w:sz w:val="28"/>
          <w:szCs w:val="28"/>
          <w:lang w:val="uk-UA"/>
        </w:rPr>
        <w:t xml:space="preserve"> Питання експеримент. та клін. мед. 2013. Т. 1., вип. 17. С. 123–127.</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Style w:val="ac"/>
          <w:rFonts w:ascii="Times New Roman" w:eastAsiaTheme="majorEastAsia" w:hAnsi="Times New Roman"/>
          <w:color w:val="auto"/>
          <w:sz w:val="28"/>
          <w:szCs w:val="28"/>
          <w:u w:val="none"/>
          <w:lang w:val="uk-UA"/>
        </w:rPr>
      </w:pPr>
      <w:r w:rsidRPr="00BC73BB">
        <w:rPr>
          <w:rFonts w:ascii="Times New Roman" w:hAnsi="Times New Roman"/>
          <w:sz w:val="28"/>
          <w:szCs w:val="28"/>
          <w:lang w:val="uk-UA"/>
        </w:rPr>
        <w:t>Ходаківський О. А. Вплив курсової експериментальної терапії 4-[оксо-3(4н)-хіназолін] бензойною кислотою (ПК-66) та мексидолом на структурно-функціональні зміни нейронів сомато-сенсорної кори головного мозку при їх ішемічному ураженні. Вісн. Вінницького НМУ. 2008. № 12. С. 279–285.</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Ходаківський О. А. Вплив курсової експериментальної терапії адемолом (сполукою ЮК-1) на динаміку показників кислотно-лужної рівноваги в ішемізованому головному мозку. Вісн. морф. 2010. Т. 16, № 4. С. 787–790.</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Ходаківський О. А. Дослідження впливу похідного адамантануадемолу на фрагментацію ДНК ядер нейронів лобних часток кори за ішемії-реперфузії головного мозку у щурів. Укр. вісн. психоневр. 2013. Т. 21, вип. 1. С. 26–28.</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Ходаківський О. А. Оцінка впливу експериментальної терапії адемолом на інтенсивність перебігу деструктивних змін в мембранах нейронів у монгольських піщанок в умовах гострої церебральної ішемії. Вісн. морфол. 2011. Т. 17, № 1. С. 62–65.</w:t>
      </w:r>
    </w:p>
    <w:p w:rsidR="001F0A71" w:rsidRPr="00BC73BB" w:rsidRDefault="001F0A71" w:rsidP="00E1086D">
      <w:pPr>
        <w:pStyle w:val="a5"/>
        <w:widowControl w:val="0"/>
        <w:numPr>
          <w:ilvl w:val="0"/>
          <w:numId w:val="34"/>
        </w:numPr>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Ходаківський О. А. Оцінка впливу похідного адамантану (сполуки ЮК-1) на церебральну гемодинаміку в умовах наркозу та гострої церебральної ішемії. Патол. 2010. Т. 7, № 2. С. 35–37.</w:t>
      </w:r>
    </w:p>
    <w:p w:rsidR="001F0A71" w:rsidRPr="00BC73BB" w:rsidRDefault="001F0A71" w:rsidP="00E1086D">
      <w:pPr>
        <w:pStyle w:val="a5"/>
        <w:widowControl w:val="0"/>
        <w:tabs>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bCs/>
          <w:sz w:val="28"/>
          <w:szCs w:val="28"/>
          <w:lang w:val="uk-UA"/>
        </w:rPr>
        <w:t>117</w:t>
      </w:r>
      <w:r w:rsidRPr="00BC73BB">
        <w:rPr>
          <w:rFonts w:ascii="Times New Roman" w:hAnsi="Times New Roman"/>
          <w:bCs/>
          <w:sz w:val="28"/>
          <w:szCs w:val="28"/>
        </w:rPr>
        <w:t>.Ходаковский А. А. Нейроморфологическая оценка эффективности адемола в остром периоде модельного нарушения мозгового кровообращения. Человек и его здоровье. 2013. № 1. С. 32</w:t>
      </w:r>
      <w:r w:rsidRPr="00BC73BB">
        <w:rPr>
          <w:rFonts w:ascii="Times New Roman" w:hAnsi="Times New Roman"/>
          <w:sz w:val="28"/>
          <w:szCs w:val="28"/>
          <w:lang w:val="uk-UA"/>
        </w:rPr>
        <w:t>–</w:t>
      </w:r>
      <w:r w:rsidRPr="00BC73BB">
        <w:rPr>
          <w:rFonts w:ascii="Times New Roman" w:hAnsi="Times New Roman"/>
          <w:bCs/>
          <w:sz w:val="28"/>
          <w:szCs w:val="28"/>
        </w:rPr>
        <w:t>37.</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bCs/>
          <w:sz w:val="28"/>
          <w:szCs w:val="28"/>
        </w:rPr>
      </w:pPr>
      <w:r w:rsidRPr="00BC73BB">
        <w:rPr>
          <w:rFonts w:ascii="Times New Roman" w:hAnsi="Times New Roman"/>
          <w:bCs/>
          <w:sz w:val="28"/>
          <w:szCs w:val="28"/>
          <w:lang w:val="uk-UA"/>
        </w:rPr>
        <w:t>118</w:t>
      </w:r>
      <w:r w:rsidRPr="00BC73BB">
        <w:rPr>
          <w:rFonts w:ascii="Times New Roman" w:hAnsi="Times New Roman"/>
          <w:bCs/>
          <w:sz w:val="28"/>
          <w:szCs w:val="28"/>
        </w:rPr>
        <w:t xml:space="preserve">.Ходаковский А. А. Церебропротекторные свойства </w:t>
      </w:r>
      <w:r w:rsidRPr="00BC73BB">
        <w:rPr>
          <w:rFonts w:ascii="Times New Roman" w:hAnsi="Times New Roman"/>
          <w:sz w:val="28"/>
          <w:szCs w:val="28"/>
        </w:rPr>
        <w:t>1-адамантилетилокси-3-морфолино-2-пропанола гидрохлорида</w:t>
      </w:r>
      <w:r w:rsidRPr="00BC73BB">
        <w:rPr>
          <w:rFonts w:ascii="Times New Roman" w:hAnsi="Times New Roman"/>
          <w:bCs/>
          <w:sz w:val="28"/>
          <w:szCs w:val="28"/>
        </w:rPr>
        <w:t xml:space="preserve"> (адемола) в восстановительном периоде </w:t>
      </w:r>
      <w:r w:rsidRPr="00BC73BB">
        <w:rPr>
          <w:rFonts w:ascii="Times New Roman" w:hAnsi="Times New Roman"/>
          <w:bCs/>
          <w:sz w:val="28"/>
          <w:szCs w:val="28"/>
        </w:rPr>
        <w:lastRenderedPageBreak/>
        <w:t>экспериментального ишемического инсульта. Мед</w:t>
      </w:r>
      <w:r w:rsidRPr="00BC73BB">
        <w:rPr>
          <w:rFonts w:ascii="Times New Roman" w:hAnsi="Times New Roman"/>
          <w:bCs/>
          <w:sz w:val="28"/>
          <w:szCs w:val="28"/>
          <w:lang w:val="uk-UA"/>
        </w:rPr>
        <w:t>.</w:t>
      </w:r>
      <w:r w:rsidRPr="00BC73BB">
        <w:rPr>
          <w:rFonts w:ascii="Times New Roman" w:hAnsi="Times New Roman"/>
          <w:bCs/>
          <w:sz w:val="28"/>
          <w:szCs w:val="28"/>
        </w:rPr>
        <w:t xml:space="preserve"> вест</w:t>
      </w:r>
      <w:r w:rsidRPr="00BC73BB">
        <w:rPr>
          <w:rFonts w:ascii="Times New Roman" w:hAnsi="Times New Roman"/>
          <w:bCs/>
          <w:sz w:val="28"/>
          <w:szCs w:val="28"/>
          <w:lang w:val="uk-UA"/>
        </w:rPr>
        <w:t>.</w:t>
      </w:r>
      <w:r w:rsidRPr="00BC73BB">
        <w:rPr>
          <w:rFonts w:ascii="Times New Roman" w:hAnsi="Times New Roman"/>
          <w:bCs/>
          <w:sz w:val="28"/>
          <w:szCs w:val="28"/>
        </w:rPr>
        <w:t xml:space="preserve"> Юга России. 2013. № 1. С. 80</w:t>
      </w:r>
      <w:r w:rsidRPr="00BC73BB">
        <w:rPr>
          <w:rFonts w:ascii="Times New Roman" w:hAnsi="Times New Roman"/>
          <w:sz w:val="28"/>
          <w:szCs w:val="28"/>
          <w:lang w:val="uk-UA"/>
        </w:rPr>
        <w:t>–</w:t>
      </w:r>
      <w:r w:rsidRPr="00BC73BB">
        <w:rPr>
          <w:rFonts w:ascii="Times New Roman" w:hAnsi="Times New Roman"/>
          <w:bCs/>
          <w:sz w:val="28"/>
          <w:szCs w:val="28"/>
        </w:rPr>
        <w:t>85</w:t>
      </w:r>
      <w:r w:rsidRPr="00BC73BB">
        <w:rPr>
          <w:rFonts w:ascii="Times New Roman" w:hAnsi="Times New Roman"/>
          <w:bCs/>
          <w:sz w:val="28"/>
          <w:szCs w:val="28"/>
          <w:lang w:val="uk-UA"/>
        </w:rPr>
        <w:t>.</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119</w:t>
      </w:r>
      <w:r w:rsidRPr="00BC73BB">
        <w:rPr>
          <w:rFonts w:ascii="Times New Roman" w:hAnsi="Times New Roman"/>
          <w:sz w:val="28"/>
          <w:szCs w:val="28"/>
        </w:rPr>
        <w:t>.</w:t>
      </w:r>
      <w:r w:rsidRPr="00BC73BB">
        <w:rPr>
          <w:rFonts w:ascii="Times New Roman" w:hAnsi="Times New Roman"/>
          <w:sz w:val="28"/>
          <w:szCs w:val="28"/>
          <w:lang w:val="uk-UA"/>
        </w:rPr>
        <w:t xml:space="preserve">Ходаківський О. А., Павлов С. В., Бухтіярова Н. В. Вплив адемолу на показники обміну NO в щурів із моделлю інфаркту міокарда. </w:t>
      </w:r>
      <w:hyperlink r:id="rId78" w:tooltip="Періодичне видання" w:history="1">
        <w:r w:rsidRPr="00BC73BB">
          <w:rPr>
            <w:rFonts w:ascii="Times New Roman" w:hAnsi="Times New Roman"/>
            <w:sz w:val="28"/>
            <w:szCs w:val="28"/>
            <w:lang w:val="uk-UA"/>
          </w:rPr>
          <w:t>Укр. біохім. журн</w:t>
        </w:r>
      </w:hyperlink>
      <w:r w:rsidRPr="00BC73BB">
        <w:rPr>
          <w:rFonts w:ascii="Times New Roman" w:hAnsi="Times New Roman"/>
          <w:sz w:val="28"/>
          <w:szCs w:val="28"/>
          <w:lang w:val="uk-UA"/>
        </w:rPr>
        <w:t>. 2013.  Т. 85, № 3. С. 85–89.</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bookmarkStart w:id="41" w:name="_Hlk50151623"/>
      <w:r w:rsidRPr="00BC73BB">
        <w:rPr>
          <w:rFonts w:ascii="Times New Roman" w:hAnsi="Times New Roman"/>
          <w:sz w:val="28"/>
          <w:szCs w:val="28"/>
          <w:lang w:val="uk-UA"/>
        </w:rPr>
        <w:t xml:space="preserve">120. Аналіз впливу деяких модуляторів активності </w:t>
      </w:r>
      <w:r w:rsidRPr="00BC73BB">
        <w:rPr>
          <w:rFonts w:ascii="Times New Roman" w:hAnsi="Times New Roman"/>
          <w:sz w:val="28"/>
          <w:szCs w:val="28"/>
        </w:rPr>
        <w:t>NMDA</w:t>
      </w:r>
      <w:r w:rsidRPr="00BC73BB">
        <w:rPr>
          <w:rFonts w:ascii="Times New Roman" w:hAnsi="Times New Roman"/>
          <w:sz w:val="28"/>
          <w:szCs w:val="28"/>
          <w:lang w:val="uk-UA"/>
        </w:rPr>
        <w:t xml:space="preserve"> рецепторів: мемантину, амантадину або магнію сульфату та адемолу на коливання внутрішньоочного тиску в нормі, за умов гострої модельної офтальмогіпертензії та конзузійної травми зорового аналізатора / В. Л. Повх та ін. Вісник Вінницького НМУ 2016. Т. 20, № 2. С. 352</w:t>
      </w:r>
      <w:r w:rsidRPr="00BC73BB">
        <w:rPr>
          <w:rFonts w:ascii="Times New Roman" w:hAnsi="Times New Roman"/>
          <w:bCs/>
          <w:sz w:val="28"/>
          <w:szCs w:val="28"/>
          <w:lang w:val="uk-UA"/>
        </w:rPr>
        <w:t>–</w:t>
      </w:r>
      <w:r w:rsidRPr="00BC73BB">
        <w:rPr>
          <w:rFonts w:ascii="Times New Roman" w:hAnsi="Times New Roman"/>
          <w:sz w:val="28"/>
          <w:szCs w:val="28"/>
          <w:lang w:val="uk-UA"/>
        </w:rPr>
        <w:t>357.</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eastAsia="en-US"/>
        </w:rPr>
      </w:pPr>
      <w:r w:rsidRPr="00BC73BB">
        <w:rPr>
          <w:rFonts w:ascii="Times New Roman" w:hAnsi="Times New Roman"/>
          <w:sz w:val="28"/>
          <w:szCs w:val="28"/>
          <w:lang w:val="uk-UA" w:eastAsia="en-US"/>
        </w:rPr>
        <w:t xml:space="preserve">121. Доклінічні дослідження лікарських засобів: метод. рек. / за ред. </w:t>
      </w:r>
      <w:r w:rsidRPr="00BC73BB">
        <w:rPr>
          <w:rFonts w:ascii="Times New Roman" w:hAnsi="Times New Roman"/>
          <w:sz w:val="28"/>
          <w:szCs w:val="28"/>
          <w:lang w:eastAsia="en-US"/>
        </w:rPr>
        <w:t>О. В. Стефанов</w:t>
      </w:r>
      <w:r w:rsidRPr="00BC73BB">
        <w:rPr>
          <w:rFonts w:ascii="Times New Roman" w:hAnsi="Times New Roman"/>
          <w:sz w:val="28"/>
          <w:szCs w:val="28"/>
          <w:lang w:val="uk-UA" w:eastAsia="en-US"/>
        </w:rPr>
        <w:t>.</w:t>
      </w:r>
      <w:r w:rsidRPr="00BC73BB">
        <w:rPr>
          <w:rFonts w:ascii="Times New Roman" w:hAnsi="Times New Roman"/>
          <w:sz w:val="28"/>
          <w:szCs w:val="28"/>
          <w:lang w:eastAsia="en-US"/>
        </w:rPr>
        <w:t xml:space="preserve"> К</w:t>
      </w:r>
      <w:r w:rsidRPr="00BC73BB">
        <w:rPr>
          <w:rFonts w:ascii="Times New Roman" w:hAnsi="Times New Roman"/>
          <w:sz w:val="28"/>
          <w:szCs w:val="28"/>
          <w:lang w:val="uk-UA" w:eastAsia="en-US"/>
        </w:rPr>
        <w:t>.</w:t>
      </w:r>
      <w:r w:rsidRPr="00BC73BB">
        <w:rPr>
          <w:rFonts w:ascii="Times New Roman" w:hAnsi="Times New Roman"/>
          <w:sz w:val="28"/>
          <w:szCs w:val="28"/>
          <w:lang w:eastAsia="en-US"/>
        </w:rPr>
        <w:t>: Авіцена</w:t>
      </w:r>
      <w:r w:rsidRPr="00BC73BB">
        <w:rPr>
          <w:rFonts w:ascii="Times New Roman" w:hAnsi="Times New Roman"/>
          <w:sz w:val="28"/>
          <w:szCs w:val="28"/>
          <w:lang w:val="uk-UA" w:eastAsia="en-US"/>
        </w:rPr>
        <w:t>.</w:t>
      </w:r>
      <w:r w:rsidRPr="00BC73BB">
        <w:rPr>
          <w:rFonts w:ascii="Times New Roman" w:hAnsi="Times New Roman"/>
          <w:sz w:val="28"/>
          <w:szCs w:val="28"/>
          <w:lang w:eastAsia="en-US"/>
        </w:rPr>
        <w:t xml:space="preserve"> 2001. </w:t>
      </w:r>
      <w:r w:rsidRPr="00BC73BB">
        <w:rPr>
          <w:rFonts w:ascii="Times New Roman" w:hAnsi="Times New Roman"/>
          <w:sz w:val="28"/>
          <w:szCs w:val="28"/>
          <w:lang w:val="uk-UA" w:eastAsia="en-US"/>
        </w:rPr>
        <w:t>528 с.</w:t>
      </w:r>
    </w:p>
    <w:p w:rsidR="001F0A71" w:rsidRPr="00BC73BB" w:rsidRDefault="001F0A71" w:rsidP="00E1086D">
      <w:pPr>
        <w:pStyle w:val="a5"/>
        <w:widowControl w:val="0"/>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122</w:t>
      </w:r>
      <w:r w:rsidRPr="00BC73BB">
        <w:rPr>
          <w:rFonts w:ascii="Times New Roman" w:hAnsi="Times New Roman"/>
          <w:sz w:val="28"/>
          <w:szCs w:val="28"/>
        </w:rPr>
        <w:t>.Руководство по экспериментальному (доклиническому) изучению новых фармакологических веществ</w:t>
      </w:r>
      <w:r w:rsidRPr="00BC73BB">
        <w:rPr>
          <w:rFonts w:ascii="Times New Roman" w:hAnsi="Times New Roman"/>
          <w:sz w:val="28"/>
          <w:szCs w:val="28"/>
          <w:lang w:val="uk-UA"/>
        </w:rPr>
        <w:t xml:space="preserve"> / подобщ. ред. Р. У. Хабриева. 2-е изд., перераб. и доп. Москва: Медицина. 2005. 832 с.</w:t>
      </w:r>
    </w:p>
    <w:bookmarkEnd w:id="41"/>
    <w:p w:rsidR="001F0A71" w:rsidRPr="00BC73BB" w:rsidRDefault="001F0A71" w:rsidP="00E1086D">
      <w:pPr>
        <w:pStyle w:val="a5"/>
        <w:widowControl w:val="0"/>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123</w:t>
      </w:r>
      <w:r w:rsidRPr="00BC73BB">
        <w:rPr>
          <w:rFonts w:ascii="Times New Roman" w:hAnsi="Times New Roman"/>
          <w:sz w:val="28"/>
          <w:szCs w:val="28"/>
        </w:rPr>
        <w:t>.Руководство по проведению доклинических исследований лекарственных средств</w:t>
      </w:r>
      <w:r w:rsidRPr="00BC73BB">
        <w:rPr>
          <w:rFonts w:ascii="Times New Roman" w:hAnsi="Times New Roman"/>
          <w:sz w:val="28"/>
          <w:szCs w:val="28"/>
          <w:lang w:val="uk-UA"/>
        </w:rPr>
        <w:t>,ч</w:t>
      </w:r>
      <w:r w:rsidRPr="00BC73BB">
        <w:rPr>
          <w:rFonts w:ascii="Times New Roman" w:hAnsi="Times New Roman"/>
          <w:sz w:val="28"/>
          <w:szCs w:val="28"/>
        </w:rPr>
        <w:t>. 1 / под</w:t>
      </w:r>
      <w:r w:rsidRPr="00BC73BB">
        <w:rPr>
          <w:rFonts w:ascii="Times New Roman" w:hAnsi="Times New Roman"/>
          <w:sz w:val="28"/>
          <w:szCs w:val="28"/>
          <w:lang w:val="uk-UA"/>
        </w:rPr>
        <w:t>общ.</w:t>
      </w:r>
      <w:r w:rsidRPr="00BC73BB">
        <w:rPr>
          <w:rFonts w:ascii="Times New Roman" w:hAnsi="Times New Roman"/>
          <w:sz w:val="28"/>
          <w:szCs w:val="28"/>
        </w:rPr>
        <w:t xml:space="preserve"> ред. А. Н. Миронова.Москва:</w:t>
      </w:r>
      <w:r w:rsidRPr="00BC73BB">
        <w:rPr>
          <w:rFonts w:ascii="Times New Roman" w:hAnsi="Times New Roman"/>
          <w:sz w:val="28"/>
          <w:szCs w:val="28"/>
          <w:lang w:val="uk-UA"/>
        </w:rPr>
        <w:t xml:space="preserve"> Гриф и К. 2012. 944 с.</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bCs/>
          <w:sz w:val="28"/>
          <w:szCs w:val="28"/>
          <w:lang w:val="uk-UA" w:eastAsia="en-US"/>
        </w:rPr>
      </w:pPr>
      <w:r w:rsidRPr="00BC73BB">
        <w:rPr>
          <w:rFonts w:ascii="Times New Roman" w:hAnsi="Times New Roman"/>
          <w:sz w:val="28"/>
          <w:szCs w:val="28"/>
          <w:lang w:val="uk-UA" w:eastAsia="en-US"/>
        </w:rPr>
        <w:t>124</w:t>
      </w:r>
      <w:r w:rsidRPr="00BC73BB">
        <w:rPr>
          <w:rFonts w:ascii="Times New Roman" w:hAnsi="Times New Roman"/>
          <w:sz w:val="28"/>
          <w:szCs w:val="28"/>
          <w:lang w:eastAsia="en-US"/>
        </w:rPr>
        <w:t>.</w:t>
      </w:r>
      <w:r w:rsidRPr="00BC73BB">
        <w:rPr>
          <w:rFonts w:ascii="Times New Roman" w:hAnsi="Times New Roman"/>
          <w:bCs/>
          <w:sz w:val="28"/>
          <w:szCs w:val="28"/>
          <w:lang w:eastAsia="en-US"/>
        </w:rPr>
        <w:t>Про захисттваринвіджорстокогоповодження</w:t>
      </w:r>
      <w:r w:rsidRPr="00BC73BB">
        <w:rPr>
          <w:rFonts w:ascii="Times New Roman" w:hAnsi="Times New Roman"/>
          <w:sz w:val="28"/>
          <w:szCs w:val="28"/>
          <w:lang w:val="uk-UA" w:eastAsia="en-US"/>
        </w:rPr>
        <w:t>:</w:t>
      </w:r>
      <w:r w:rsidRPr="00BC73BB">
        <w:rPr>
          <w:rFonts w:ascii="Times New Roman" w:hAnsi="Times New Roman"/>
          <w:sz w:val="28"/>
          <w:szCs w:val="28"/>
          <w:lang w:eastAsia="en-US"/>
        </w:rPr>
        <w:t xml:space="preserve"> Закон України</w:t>
      </w:r>
      <w:r w:rsidRPr="00BC73BB">
        <w:rPr>
          <w:rFonts w:ascii="Times New Roman" w:hAnsi="Times New Roman"/>
          <w:sz w:val="28"/>
          <w:szCs w:val="28"/>
          <w:lang w:val="uk-UA" w:eastAsia="en-US"/>
        </w:rPr>
        <w:t xml:space="preserve"> від 21.02</w:t>
      </w:r>
      <w:r w:rsidRPr="00BC73BB">
        <w:rPr>
          <w:rFonts w:ascii="Times New Roman" w:hAnsi="Times New Roman"/>
          <w:sz w:val="28"/>
          <w:szCs w:val="28"/>
          <w:lang w:eastAsia="en-US"/>
        </w:rPr>
        <w:t>.</w:t>
      </w:r>
      <w:r w:rsidRPr="00BC73BB">
        <w:rPr>
          <w:rFonts w:ascii="Times New Roman" w:hAnsi="Times New Roman"/>
          <w:sz w:val="28"/>
          <w:szCs w:val="28"/>
          <w:lang w:val="uk-UA" w:eastAsia="en-US"/>
        </w:rPr>
        <w:t xml:space="preserve">2006 № </w:t>
      </w:r>
      <w:r w:rsidRPr="00BC73BB">
        <w:rPr>
          <w:rFonts w:ascii="Times New Roman" w:hAnsi="Times New Roman"/>
          <w:bCs/>
          <w:sz w:val="28"/>
          <w:szCs w:val="28"/>
          <w:lang w:eastAsia="en-US"/>
        </w:rPr>
        <w:t>3447-IV.</w:t>
      </w:r>
      <w:r w:rsidRPr="00BC73BB">
        <w:rPr>
          <w:rFonts w:ascii="Times New Roman" w:hAnsi="Times New Roman"/>
          <w:bCs/>
          <w:sz w:val="28"/>
          <w:szCs w:val="28"/>
          <w:lang w:val="uk-UA" w:eastAsia="en-US"/>
        </w:rPr>
        <w:t xml:space="preserve"> ВВР. 2006. № 27. ст. 230.</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bCs/>
          <w:sz w:val="28"/>
          <w:szCs w:val="28"/>
          <w:lang w:val="uk-UA" w:eastAsia="en-US"/>
        </w:rPr>
      </w:pPr>
      <w:r w:rsidRPr="00BC73BB">
        <w:rPr>
          <w:rFonts w:ascii="Times New Roman" w:hAnsi="Times New Roman"/>
          <w:bCs/>
          <w:sz w:val="28"/>
          <w:szCs w:val="28"/>
          <w:lang w:val="uk-UA" w:eastAsia="en-US"/>
        </w:rPr>
        <w:t>125</w:t>
      </w:r>
      <w:r w:rsidRPr="00BC73BB">
        <w:rPr>
          <w:rFonts w:ascii="Times New Roman" w:hAnsi="Times New Roman"/>
          <w:bCs/>
          <w:sz w:val="28"/>
          <w:szCs w:val="28"/>
          <w:lang w:val="en-US" w:eastAsia="en-US"/>
        </w:rPr>
        <w:t>.</w:t>
      </w:r>
      <w:r w:rsidRPr="00BC73BB">
        <w:rPr>
          <w:rFonts w:ascii="Times New Roman" w:hAnsi="Times New Roman"/>
          <w:bCs/>
          <w:sz w:val="28"/>
          <w:szCs w:val="28"/>
          <w:lang w:val="uk-UA" w:eastAsia="en-US"/>
        </w:rPr>
        <w:t xml:space="preserve">EuropeanConventionfortheprotectionofvertebrateanimalsusedforexperimentalandotherscientificpurposes. Strasbourg: CouncilofEuropeEur. TreatySeries. № 123. 11 с. </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en-US" w:eastAsia="en-US"/>
        </w:rPr>
      </w:pPr>
      <w:r w:rsidRPr="00BC73BB">
        <w:rPr>
          <w:rFonts w:ascii="Times New Roman" w:hAnsi="Times New Roman"/>
          <w:sz w:val="28"/>
          <w:szCs w:val="28"/>
          <w:lang w:val="uk-UA" w:eastAsia="en-US"/>
        </w:rPr>
        <w:t>126</w:t>
      </w:r>
      <w:r w:rsidRPr="00BC73BB">
        <w:rPr>
          <w:rFonts w:ascii="Times New Roman" w:hAnsi="Times New Roman"/>
          <w:sz w:val="28"/>
          <w:szCs w:val="28"/>
          <w:lang w:val="en-US" w:eastAsia="en-US"/>
        </w:rPr>
        <w:t xml:space="preserve">.De Simone F., Serratosa J. Biotechnology, animal health and animal welfare within the framework of European Union legislation. Rev. Scientifique Tech. 2005. </w:t>
      </w:r>
      <w:r w:rsidRPr="00BC73BB">
        <w:rPr>
          <w:rFonts w:ascii="Times New Roman" w:hAnsi="Times New Roman"/>
          <w:sz w:val="28"/>
          <w:szCs w:val="28"/>
          <w:lang w:val="en-US"/>
        </w:rPr>
        <w:t xml:space="preserve">Vol. </w:t>
      </w:r>
      <w:r w:rsidRPr="00BC73BB">
        <w:rPr>
          <w:rFonts w:ascii="Times New Roman" w:hAnsi="Times New Roman"/>
          <w:sz w:val="28"/>
          <w:szCs w:val="28"/>
          <w:lang w:val="en-US" w:eastAsia="en-US"/>
        </w:rPr>
        <w:t xml:space="preserve">24 1. </w:t>
      </w:r>
      <w:r w:rsidRPr="00BC73BB">
        <w:rPr>
          <w:rFonts w:ascii="Times New Roman" w:hAnsi="Times New Roman"/>
          <w:sz w:val="28"/>
          <w:szCs w:val="28"/>
          <w:lang w:eastAsia="en-US"/>
        </w:rPr>
        <w:t>Р</w:t>
      </w:r>
      <w:r w:rsidRPr="00BC73BB">
        <w:rPr>
          <w:rFonts w:ascii="Times New Roman" w:hAnsi="Times New Roman"/>
          <w:sz w:val="28"/>
          <w:szCs w:val="28"/>
          <w:lang w:val="en-US" w:eastAsia="en-US"/>
        </w:rPr>
        <w:t>. 89</w:t>
      </w:r>
      <w:r w:rsidRPr="00BC73BB">
        <w:rPr>
          <w:rFonts w:ascii="Times New Roman" w:hAnsi="Times New Roman"/>
          <w:bCs/>
          <w:sz w:val="28"/>
          <w:szCs w:val="28"/>
          <w:lang w:val="uk-UA"/>
        </w:rPr>
        <w:t>–</w:t>
      </w:r>
      <w:r w:rsidRPr="00BC73BB">
        <w:rPr>
          <w:rFonts w:ascii="Times New Roman" w:hAnsi="Times New Roman"/>
          <w:sz w:val="28"/>
          <w:szCs w:val="28"/>
          <w:lang w:val="en-US" w:eastAsia="en-US"/>
        </w:rPr>
        <w:t>99.</w:t>
      </w:r>
    </w:p>
    <w:p w:rsidR="001F0A71" w:rsidRPr="00BC73BB" w:rsidRDefault="001F0A71" w:rsidP="00E1086D">
      <w:pPr>
        <w:pStyle w:val="a5"/>
        <w:tabs>
          <w:tab w:val="left" w:pos="851"/>
          <w:tab w:val="left" w:pos="993"/>
        </w:tabs>
        <w:autoSpaceDE w:val="0"/>
        <w:autoSpaceDN w:val="0"/>
        <w:adjustRightInd w:val="0"/>
        <w:spacing w:after="0" w:line="360" w:lineRule="auto"/>
        <w:ind w:left="0" w:firstLine="284"/>
        <w:jc w:val="both"/>
        <w:rPr>
          <w:rFonts w:ascii="Times New Roman" w:eastAsiaTheme="minorHAnsi" w:hAnsi="Times New Roman"/>
          <w:sz w:val="28"/>
          <w:szCs w:val="28"/>
          <w:lang w:eastAsia="en-US"/>
        </w:rPr>
      </w:pPr>
      <w:r w:rsidRPr="00BC73BB">
        <w:rPr>
          <w:rFonts w:ascii="Times New Roman" w:eastAsiaTheme="minorHAnsi" w:hAnsi="Times New Roman"/>
          <w:sz w:val="28"/>
          <w:szCs w:val="28"/>
          <w:lang w:val="uk-UA" w:eastAsia="en-US"/>
        </w:rPr>
        <w:t>127</w:t>
      </w:r>
      <w:r w:rsidRPr="00BC73BB">
        <w:rPr>
          <w:rFonts w:ascii="Times New Roman" w:eastAsiaTheme="minorHAnsi" w:hAnsi="Times New Roman"/>
          <w:sz w:val="28"/>
          <w:szCs w:val="28"/>
          <w:lang w:val="en-US" w:eastAsia="en-US"/>
        </w:rPr>
        <w:t>.</w:t>
      </w:r>
      <w:r w:rsidRPr="00BC73BB">
        <w:rPr>
          <w:rFonts w:ascii="Times New Roman" w:eastAsiaTheme="minorHAnsi" w:hAnsi="Times New Roman"/>
          <w:sz w:val="28"/>
          <w:szCs w:val="28"/>
          <w:lang w:eastAsia="en-US"/>
        </w:rPr>
        <w:t>ЯрошО</w:t>
      </w:r>
      <w:r w:rsidRPr="00BC73BB">
        <w:rPr>
          <w:rFonts w:ascii="Times New Roman" w:eastAsiaTheme="minorHAnsi" w:hAnsi="Times New Roman"/>
          <w:sz w:val="28"/>
          <w:szCs w:val="28"/>
          <w:lang w:val="en-US" w:eastAsia="en-US"/>
        </w:rPr>
        <w:t xml:space="preserve">. </w:t>
      </w:r>
      <w:r w:rsidRPr="00BC73BB">
        <w:rPr>
          <w:rFonts w:ascii="Times New Roman" w:eastAsiaTheme="minorHAnsi" w:hAnsi="Times New Roman"/>
          <w:sz w:val="28"/>
          <w:szCs w:val="28"/>
          <w:lang w:eastAsia="en-US"/>
        </w:rPr>
        <w:t>К</w:t>
      </w:r>
      <w:r w:rsidRPr="00BC73BB">
        <w:rPr>
          <w:rFonts w:ascii="Times New Roman" w:eastAsiaTheme="minorHAnsi" w:hAnsi="Times New Roman"/>
          <w:sz w:val="28"/>
          <w:szCs w:val="28"/>
          <w:lang w:val="en-US" w:eastAsia="en-US"/>
        </w:rPr>
        <w:t xml:space="preserve">., </w:t>
      </w:r>
      <w:r w:rsidRPr="00BC73BB">
        <w:rPr>
          <w:rFonts w:ascii="Times New Roman" w:eastAsiaTheme="minorHAnsi" w:hAnsi="Times New Roman"/>
          <w:sz w:val="28"/>
          <w:szCs w:val="28"/>
          <w:lang w:eastAsia="en-US"/>
        </w:rPr>
        <w:t>КириченкоС</w:t>
      </w:r>
      <w:r w:rsidRPr="00BC73BB">
        <w:rPr>
          <w:rFonts w:ascii="Times New Roman" w:eastAsiaTheme="minorHAnsi" w:hAnsi="Times New Roman"/>
          <w:sz w:val="28"/>
          <w:szCs w:val="28"/>
          <w:lang w:val="en-US" w:eastAsia="en-US"/>
        </w:rPr>
        <w:t xml:space="preserve">. </w:t>
      </w:r>
      <w:r w:rsidRPr="00BC73BB">
        <w:rPr>
          <w:rFonts w:ascii="Times New Roman" w:eastAsiaTheme="minorHAnsi" w:hAnsi="Times New Roman"/>
          <w:sz w:val="28"/>
          <w:szCs w:val="28"/>
          <w:lang w:eastAsia="en-US"/>
        </w:rPr>
        <w:t>В</w:t>
      </w:r>
      <w:r w:rsidRPr="00BC73BB">
        <w:rPr>
          <w:rFonts w:ascii="Times New Roman" w:eastAsiaTheme="minorHAnsi" w:hAnsi="Times New Roman"/>
          <w:sz w:val="28"/>
          <w:szCs w:val="28"/>
          <w:lang w:val="en-US" w:eastAsia="en-US"/>
        </w:rPr>
        <w:t xml:space="preserve">., </w:t>
      </w:r>
      <w:r w:rsidRPr="00BC73BB">
        <w:rPr>
          <w:rFonts w:ascii="Times New Roman" w:eastAsiaTheme="minorHAnsi" w:hAnsi="Times New Roman"/>
          <w:sz w:val="28"/>
          <w:szCs w:val="28"/>
          <w:lang w:eastAsia="en-US"/>
        </w:rPr>
        <w:t>ХалімончикС</w:t>
      </w:r>
      <w:r w:rsidRPr="00BC73BB">
        <w:rPr>
          <w:rFonts w:ascii="Times New Roman" w:eastAsiaTheme="minorHAnsi" w:hAnsi="Times New Roman"/>
          <w:sz w:val="28"/>
          <w:szCs w:val="28"/>
          <w:lang w:val="en-US" w:eastAsia="en-US"/>
        </w:rPr>
        <w:t xml:space="preserve">. </w:t>
      </w:r>
      <w:r w:rsidRPr="00BC73BB">
        <w:rPr>
          <w:rFonts w:ascii="Times New Roman" w:eastAsiaTheme="minorHAnsi" w:hAnsi="Times New Roman"/>
          <w:sz w:val="28"/>
          <w:szCs w:val="28"/>
          <w:lang w:eastAsia="en-US"/>
        </w:rPr>
        <w:t>П</w:t>
      </w:r>
      <w:r w:rsidRPr="00BC73BB">
        <w:rPr>
          <w:rFonts w:ascii="Times New Roman" w:eastAsiaTheme="minorHAnsi" w:hAnsi="Times New Roman"/>
          <w:sz w:val="28"/>
          <w:szCs w:val="28"/>
          <w:lang w:val="en-US" w:eastAsia="en-US"/>
        </w:rPr>
        <w:t xml:space="preserve">. </w:t>
      </w:r>
      <w:r w:rsidRPr="00BC73BB">
        <w:rPr>
          <w:rFonts w:ascii="Times New Roman" w:eastAsiaTheme="minorHAnsi" w:hAnsi="Times New Roman"/>
          <w:sz w:val="28"/>
          <w:szCs w:val="28"/>
          <w:lang w:eastAsia="en-US"/>
        </w:rPr>
        <w:t>Методвідтворенняінтрацеребральноїгеморагіїубілихщурів</w:t>
      </w:r>
      <w:r w:rsidRPr="00BC73BB">
        <w:rPr>
          <w:rFonts w:ascii="Times New Roman" w:eastAsiaTheme="minorHAnsi" w:hAnsi="Times New Roman"/>
          <w:sz w:val="28"/>
          <w:szCs w:val="28"/>
          <w:lang w:val="en-US" w:eastAsia="en-US"/>
        </w:rPr>
        <w:t xml:space="preserve">. </w:t>
      </w:r>
      <w:r w:rsidRPr="00BC73BB">
        <w:rPr>
          <w:rFonts w:ascii="Times New Roman" w:eastAsiaTheme="minorHAnsi" w:hAnsi="Times New Roman"/>
          <w:sz w:val="28"/>
          <w:szCs w:val="28"/>
          <w:lang w:eastAsia="en-US"/>
        </w:rPr>
        <w:t>Кровообіг</w:t>
      </w:r>
      <w:r w:rsidRPr="00086D89">
        <w:rPr>
          <w:rFonts w:ascii="Times New Roman" w:eastAsiaTheme="minorHAnsi" w:hAnsi="Times New Roman"/>
          <w:sz w:val="28"/>
          <w:szCs w:val="28"/>
          <w:lang w:val="en-US" w:eastAsia="en-US"/>
        </w:rPr>
        <w:t xml:space="preserve"> </w:t>
      </w:r>
      <w:r w:rsidRPr="00BC73BB">
        <w:rPr>
          <w:rFonts w:ascii="Times New Roman" w:eastAsiaTheme="minorHAnsi" w:hAnsi="Times New Roman"/>
          <w:sz w:val="28"/>
          <w:szCs w:val="28"/>
          <w:lang w:eastAsia="en-US"/>
        </w:rPr>
        <w:t>та</w:t>
      </w:r>
      <w:r w:rsidRPr="00086D89">
        <w:rPr>
          <w:rFonts w:ascii="Times New Roman" w:eastAsiaTheme="minorHAnsi" w:hAnsi="Times New Roman"/>
          <w:sz w:val="28"/>
          <w:szCs w:val="28"/>
          <w:lang w:val="en-US" w:eastAsia="en-US"/>
        </w:rPr>
        <w:t xml:space="preserve"> </w:t>
      </w:r>
      <w:r w:rsidRPr="00BC73BB">
        <w:rPr>
          <w:rFonts w:ascii="Times New Roman" w:eastAsiaTheme="minorHAnsi" w:hAnsi="Times New Roman"/>
          <w:sz w:val="28"/>
          <w:szCs w:val="28"/>
          <w:lang w:eastAsia="en-US"/>
        </w:rPr>
        <w:t>гемост</w:t>
      </w:r>
      <w:r w:rsidRPr="00086D89">
        <w:rPr>
          <w:rFonts w:ascii="Times New Roman" w:eastAsiaTheme="minorHAnsi" w:hAnsi="Times New Roman"/>
          <w:sz w:val="28"/>
          <w:szCs w:val="28"/>
          <w:lang w:val="en-US" w:eastAsia="en-US"/>
        </w:rPr>
        <w:t xml:space="preserve">. </w:t>
      </w:r>
      <w:r w:rsidRPr="00BC73BB">
        <w:rPr>
          <w:rFonts w:ascii="Times New Roman" w:eastAsiaTheme="minorHAnsi" w:hAnsi="Times New Roman"/>
          <w:sz w:val="28"/>
          <w:szCs w:val="28"/>
          <w:lang w:eastAsia="en-US"/>
        </w:rPr>
        <w:t>2005. № 1. С. 77</w:t>
      </w:r>
      <w:r w:rsidRPr="00BC73BB">
        <w:rPr>
          <w:rFonts w:ascii="Times New Roman" w:hAnsi="Times New Roman"/>
          <w:bCs/>
          <w:sz w:val="28"/>
          <w:szCs w:val="28"/>
          <w:lang w:val="uk-UA"/>
        </w:rPr>
        <w:t>–</w:t>
      </w:r>
      <w:r w:rsidRPr="00BC73BB">
        <w:rPr>
          <w:rFonts w:ascii="Times New Roman" w:eastAsiaTheme="minorHAnsi" w:hAnsi="Times New Roman"/>
          <w:sz w:val="28"/>
          <w:szCs w:val="28"/>
          <w:lang w:eastAsia="en-US"/>
        </w:rPr>
        <w:t>81.</w:t>
      </w:r>
    </w:p>
    <w:p w:rsidR="001F0A71" w:rsidRPr="00BC73BB" w:rsidRDefault="001F0A71" w:rsidP="00E1086D">
      <w:pPr>
        <w:pStyle w:val="a5"/>
        <w:tabs>
          <w:tab w:val="left" w:pos="851"/>
          <w:tab w:val="left" w:pos="993"/>
        </w:tabs>
        <w:autoSpaceDE w:val="0"/>
        <w:autoSpaceDN w:val="0"/>
        <w:adjustRightInd w:val="0"/>
        <w:spacing w:after="0" w:line="360" w:lineRule="auto"/>
        <w:ind w:left="0" w:firstLine="284"/>
        <w:jc w:val="both"/>
        <w:rPr>
          <w:rFonts w:ascii="Times New Roman" w:hAnsi="Times New Roman"/>
          <w:sz w:val="28"/>
          <w:szCs w:val="28"/>
          <w:lang w:val="uk-UA"/>
        </w:rPr>
      </w:pPr>
      <w:bookmarkStart w:id="42" w:name="_Hlk50190219"/>
      <w:r w:rsidRPr="00BC73BB">
        <w:rPr>
          <w:rFonts w:ascii="Times New Roman" w:hAnsi="Times New Roman"/>
          <w:sz w:val="28"/>
          <w:szCs w:val="28"/>
          <w:lang w:val="uk-UA"/>
        </w:rPr>
        <w:t>128</w:t>
      </w:r>
      <w:r w:rsidRPr="00BC73BB">
        <w:rPr>
          <w:rFonts w:ascii="Times New Roman" w:hAnsi="Times New Roman"/>
          <w:sz w:val="28"/>
          <w:szCs w:val="28"/>
        </w:rPr>
        <w:t>.</w:t>
      </w:r>
      <w:r w:rsidRPr="00BC73BB">
        <w:rPr>
          <w:rFonts w:ascii="Times New Roman" w:hAnsi="Times New Roman"/>
          <w:sz w:val="28"/>
          <w:szCs w:val="28"/>
          <w:lang w:val="uk-UA"/>
        </w:rPr>
        <w:t xml:space="preserve">Жабоєдова, Н. В., Ходаківський, О. А. Характеристика моделі геморагічного інсульту на прикладі доклінічної оцінки нейропротекторних властивостей адемолу. Сучасні аспекти клінічної фармакології на тлі досягнень доказової медицини </w:t>
      </w:r>
      <w:r w:rsidRPr="00BC73BB">
        <w:rPr>
          <w:rFonts w:ascii="Times New Roman" w:hAnsi="Times New Roman"/>
          <w:sz w:val="28"/>
          <w:szCs w:val="28"/>
          <w:lang w:val="uk-UA"/>
        </w:rPr>
        <w:lastRenderedPageBreak/>
        <w:t xml:space="preserve">України: матеріали Х Всеукр. наук.-практ. конфер. з міжнар. уч. (Вінниця, 7–8 листопада 2019 р.). Вінниця: </w:t>
      </w:r>
      <w:r w:rsidRPr="00BC73BB">
        <w:rPr>
          <w:rFonts w:ascii="Times New Roman" w:hAnsi="Times New Roman"/>
          <w:sz w:val="28"/>
          <w:szCs w:val="28"/>
        </w:rPr>
        <w:t>Виготовлювач ТОВ «ТВОРИ»</w:t>
      </w:r>
      <w:r w:rsidRPr="00BC73BB">
        <w:rPr>
          <w:rFonts w:ascii="Times New Roman" w:hAnsi="Times New Roman"/>
          <w:sz w:val="28"/>
          <w:szCs w:val="28"/>
          <w:lang w:val="uk-UA"/>
        </w:rPr>
        <w:t>, 2019. С.68-70.</w:t>
      </w:r>
    </w:p>
    <w:bookmarkEnd w:id="42"/>
    <w:p w:rsidR="001F0A71" w:rsidRPr="00BC73BB" w:rsidRDefault="001F0A71" w:rsidP="00E1086D">
      <w:pPr>
        <w:pStyle w:val="a5"/>
        <w:tabs>
          <w:tab w:val="left" w:pos="851"/>
          <w:tab w:val="left" w:pos="993"/>
        </w:tabs>
        <w:autoSpaceDE w:val="0"/>
        <w:autoSpaceDN w:val="0"/>
        <w:adjustRightInd w:val="0"/>
        <w:spacing w:after="0" w:line="360" w:lineRule="auto"/>
        <w:ind w:left="0" w:firstLine="284"/>
        <w:jc w:val="both"/>
        <w:rPr>
          <w:rFonts w:ascii="Times New Roman" w:eastAsiaTheme="minorHAnsi" w:hAnsi="Times New Roman"/>
          <w:sz w:val="28"/>
          <w:szCs w:val="28"/>
          <w:lang w:val="uk-UA" w:eastAsia="en-US"/>
        </w:rPr>
      </w:pPr>
      <w:r w:rsidRPr="00BC73BB">
        <w:rPr>
          <w:rFonts w:ascii="Times New Roman" w:eastAsiaTheme="minorHAnsi" w:hAnsi="Times New Roman"/>
          <w:sz w:val="28"/>
          <w:szCs w:val="28"/>
          <w:lang w:val="uk-UA" w:eastAsia="en-US"/>
        </w:rPr>
        <w:t>129</w:t>
      </w:r>
      <w:r w:rsidRPr="00BC73BB">
        <w:rPr>
          <w:rFonts w:ascii="Times New Roman" w:eastAsiaTheme="minorHAnsi" w:hAnsi="Times New Roman"/>
          <w:sz w:val="28"/>
          <w:szCs w:val="28"/>
          <w:lang w:eastAsia="en-US"/>
        </w:rPr>
        <w:t>.</w:t>
      </w:r>
      <w:r w:rsidRPr="00BC73BB">
        <w:rPr>
          <w:rFonts w:ascii="Times New Roman" w:eastAsiaTheme="minorHAnsi" w:hAnsi="Times New Roman"/>
          <w:sz w:val="28"/>
          <w:szCs w:val="28"/>
          <w:lang w:val="uk-UA" w:eastAsia="en-US"/>
        </w:rPr>
        <w:t>Жабоєдова Н. В., Загорій Г. В., Ходаківський О. А. Скринінг церебропротекторних властивостей промислового зразка ампульного розчину 1-адамантилетилокси-3-морфоліно-2-пропанолу гідрохлориду ("Адемол") на моделях гострого порушення мозкового кровообігу за геморагічним типом. Вісн. морф. 2016. Т. 22, № 1. С. 71</w:t>
      </w:r>
      <w:r w:rsidRPr="00BC73BB">
        <w:rPr>
          <w:rFonts w:ascii="Times New Roman" w:hAnsi="Times New Roman"/>
          <w:bCs/>
          <w:sz w:val="28"/>
          <w:szCs w:val="28"/>
          <w:lang w:val="uk-UA"/>
        </w:rPr>
        <w:t>–</w:t>
      </w:r>
      <w:r w:rsidRPr="00BC73BB">
        <w:rPr>
          <w:rFonts w:ascii="Times New Roman" w:eastAsiaTheme="minorHAnsi" w:hAnsi="Times New Roman"/>
          <w:sz w:val="28"/>
          <w:szCs w:val="28"/>
          <w:lang w:val="uk-UA" w:eastAsia="en-US"/>
        </w:rPr>
        <w:t>77.</w:t>
      </w:r>
    </w:p>
    <w:p w:rsidR="001F0A71" w:rsidRPr="00BC73BB" w:rsidRDefault="001F0A71" w:rsidP="00E1086D">
      <w:pPr>
        <w:pStyle w:val="a5"/>
        <w:tabs>
          <w:tab w:val="left" w:pos="851"/>
          <w:tab w:val="left" w:pos="993"/>
        </w:tabs>
        <w:autoSpaceDE w:val="0"/>
        <w:autoSpaceDN w:val="0"/>
        <w:adjustRightInd w:val="0"/>
        <w:spacing w:after="0" w:line="360" w:lineRule="auto"/>
        <w:ind w:left="0" w:firstLine="284"/>
        <w:jc w:val="both"/>
        <w:rPr>
          <w:rFonts w:ascii="Times New Roman" w:eastAsiaTheme="minorHAnsi" w:hAnsi="Times New Roman"/>
          <w:sz w:val="28"/>
          <w:szCs w:val="28"/>
          <w:lang w:val="uk-UA" w:eastAsia="en-US"/>
        </w:rPr>
      </w:pPr>
      <w:r w:rsidRPr="00BC73BB">
        <w:rPr>
          <w:rFonts w:ascii="Times New Roman" w:eastAsiaTheme="minorHAnsi" w:hAnsi="Times New Roman"/>
          <w:sz w:val="28"/>
          <w:szCs w:val="28"/>
          <w:lang w:val="uk-UA" w:eastAsia="en-US"/>
        </w:rPr>
        <w:t>130. Порівняльна оцінка впливу адемолу та німодипіну на церебральну гемодинаміку в корі головного мозку за умов експериментального субарахноїдального крововиливу / О. А. Ходаківський та ін. Світ мед. та біол. 2016. Т. 57, № 3. С.150</w:t>
      </w:r>
      <w:r w:rsidRPr="00BC73BB">
        <w:rPr>
          <w:rFonts w:ascii="Times New Roman" w:hAnsi="Times New Roman"/>
          <w:bCs/>
          <w:sz w:val="28"/>
          <w:szCs w:val="28"/>
          <w:lang w:val="uk-UA"/>
        </w:rPr>
        <w:t>–</w:t>
      </w:r>
      <w:r w:rsidRPr="00BC73BB">
        <w:rPr>
          <w:rFonts w:ascii="Times New Roman" w:eastAsiaTheme="minorHAnsi" w:hAnsi="Times New Roman"/>
          <w:sz w:val="28"/>
          <w:szCs w:val="28"/>
          <w:lang w:val="uk-UA" w:eastAsia="en-US"/>
        </w:rPr>
        <w:t>153.</w:t>
      </w:r>
    </w:p>
    <w:p w:rsidR="001F0A71" w:rsidRPr="00BC73BB" w:rsidRDefault="001F0A71" w:rsidP="00E1086D">
      <w:pPr>
        <w:pStyle w:val="a5"/>
        <w:tabs>
          <w:tab w:val="left" w:pos="851"/>
          <w:tab w:val="left" w:pos="993"/>
        </w:tabs>
        <w:autoSpaceDE w:val="0"/>
        <w:autoSpaceDN w:val="0"/>
        <w:adjustRightInd w:val="0"/>
        <w:spacing w:after="0" w:line="360" w:lineRule="auto"/>
        <w:ind w:left="0" w:firstLine="284"/>
        <w:jc w:val="both"/>
        <w:rPr>
          <w:rFonts w:ascii="Times New Roman" w:hAnsi="Times New Roman"/>
          <w:sz w:val="28"/>
          <w:szCs w:val="28"/>
        </w:rPr>
      </w:pPr>
      <w:r w:rsidRPr="00BC73BB">
        <w:rPr>
          <w:rFonts w:ascii="Times New Roman" w:hAnsi="Times New Roman"/>
          <w:sz w:val="28"/>
          <w:szCs w:val="28"/>
          <w:lang w:val="uk-UA"/>
        </w:rPr>
        <w:t>131</w:t>
      </w:r>
      <w:r w:rsidRPr="00BC73BB">
        <w:rPr>
          <w:rFonts w:ascii="Times New Roman" w:hAnsi="Times New Roman"/>
          <w:sz w:val="28"/>
          <w:szCs w:val="28"/>
        </w:rPr>
        <w:t>.Буреш Я., Бурешова О., Хьюстон Д. Методики и основные эксперименты по изучению мозга и поведения</w:t>
      </w:r>
      <w:r w:rsidRPr="00BC73BB">
        <w:rPr>
          <w:rFonts w:ascii="Times New Roman" w:hAnsi="Times New Roman"/>
          <w:sz w:val="28"/>
          <w:szCs w:val="28"/>
          <w:lang w:val="uk-UA"/>
        </w:rPr>
        <w:t>.</w:t>
      </w:r>
      <w:r w:rsidRPr="00BC73BB">
        <w:rPr>
          <w:rFonts w:ascii="Times New Roman" w:hAnsi="Times New Roman"/>
          <w:sz w:val="28"/>
          <w:szCs w:val="28"/>
        </w:rPr>
        <w:t xml:space="preserve"> М.: Высшая школа, 1991. 527 с. </w:t>
      </w:r>
    </w:p>
    <w:p w:rsidR="001F0A71" w:rsidRPr="00BC73BB" w:rsidRDefault="001F0A71" w:rsidP="00E1086D">
      <w:pPr>
        <w:pStyle w:val="a5"/>
        <w:shd w:val="clear" w:color="auto" w:fill="FFFFFF"/>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132</w:t>
      </w:r>
      <w:r w:rsidRPr="00BC73BB">
        <w:rPr>
          <w:rFonts w:ascii="Times New Roman" w:hAnsi="Times New Roman"/>
          <w:sz w:val="28"/>
          <w:szCs w:val="28"/>
        </w:rPr>
        <w:t>.</w:t>
      </w:r>
      <w:r w:rsidRPr="00BC73BB">
        <w:rPr>
          <w:rFonts w:ascii="Times New Roman" w:hAnsi="Times New Roman"/>
          <w:sz w:val="28"/>
          <w:szCs w:val="28"/>
          <w:lang w:val="uk-UA"/>
        </w:rPr>
        <w:t>Нимодипин и сочетанныенарушениямозгового и коронарного кровообращенияэксперименте / Р. С. Мирзоян и др. Эксперим. и клин. фармак. 2009. Т. 72, № 2. С. 24–28.</w:t>
      </w:r>
    </w:p>
    <w:p w:rsidR="001F0A71" w:rsidRPr="00BC73BB" w:rsidRDefault="001F0A71" w:rsidP="00E1086D">
      <w:pPr>
        <w:pStyle w:val="a5"/>
        <w:shd w:val="clear" w:color="auto" w:fill="FFFFFF"/>
        <w:tabs>
          <w:tab w:val="left" w:pos="851"/>
          <w:tab w:val="left" w:pos="993"/>
        </w:tabs>
        <w:spacing w:after="0" w:line="360" w:lineRule="auto"/>
        <w:ind w:left="0" w:firstLine="284"/>
        <w:jc w:val="both"/>
      </w:pPr>
      <w:r w:rsidRPr="00BC73BB">
        <w:rPr>
          <w:rFonts w:ascii="Times New Roman" w:hAnsi="Times New Roman"/>
          <w:sz w:val="28"/>
          <w:szCs w:val="28"/>
          <w:lang w:val="uk-UA"/>
        </w:rPr>
        <w:t>133. Експериментальна оцінка впливу нарізного введення мемантину та розчинів амантадину і магнію сульфату на мікроциркуляцію в судинах заднього полюса ока після контузії або в гострий постреперфузійний період на тлі реканалізації а. ophthalmica / В. Л. Повх та ін. Буковинський мед. вісн. 2017. Т. 21, № 1. С. 106</w:t>
      </w:r>
      <w:r w:rsidRPr="00BC73BB">
        <w:rPr>
          <w:rFonts w:ascii="Times New Roman" w:hAnsi="Times New Roman"/>
          <w:bCs/>
          <w:sz w:val="28"/>
          <w:szCs w:val="28"/>
          <w:lang w:val="uk-UA"/>
        </w:rPr>
        <w:t>–</w:t>
      </w:r>
      <w:r w:rsidRPr="00BC73BB">
        <w:rPr>
          <w:rFonts w:ascii="Times New Roman" w:hAnsi="Times New Roman"/>
          <w:sz w:val="28"/>
          <w:szCs w:val="28"/>
          <w:lang w:val="uk-UA"/>
        </w:rPr>
        <w:t>110.</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134</w:t>
      </w:r>
      <w:r w:rsidRPr="00BC73BB">
        <w:rPr>
          <w:rFonts w:ascii="Times New Roman" w:hAnsi="Times New Roman"/>
          <w:sz w:val="28"/>
          <w:szCs w:val="28"/>
        </w:rPr>
        <w:t>.</w:t>
      </w:r>
      <w:r w:rsidRPr="00BC73BB">
        <w:rPr>
          <w:rFonts w:ascii="Times New Roman" w:hAnsi="Times New Roman"/>
          <w:sz w:val="28"/>
          <w:szCs w:val="28"/>
          <w:lang w:val="uk-UA"/>
        </w:rPr>
        <w:t xml:space="preserve"> Прохорова М. И. Современныеметодыбиохимическихисследований. Л.: Из-во Ленинградскогоун-та, 1982. 272 с </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135</w:t>
      </w:r>
      <w:r w:rsidRPr="00BC73BB">
        <w:rPr>
          <w:rFonts w:ascii="Times New Roman" w:hAnsi="Times New Roman"/>
          <w:sz w:val="28"/>
          <w:szCs w:val="28"/>
        </w:rPr>
        <w:t>.Асатиани В.С. Биохимическая фотометрия</w:t>
      </w:r>
      <w:r w:rsidRPr="00BC73BB">
        <w:rPr>
          <w:rFonts w:ascii="Times New Roman" w:hAnsi="Times New Roman"/>
          <w:sz w:val="28"/>
          <w:szCs w:val="28"/>
          <w:lang w:val="uk-UA"/>
        </w:rPr>
        <w:t>.</w:t>
      </w:r>
      <w:r w:rsidRPr="00BC73BB">
        <w:rPr>
          <w:rFonts w:ascii="Times New Roman" w:hAnsi="Times New Roman"/>
          <w:sz w:val="28"/>
          <w:szCs w:val="28"/>
        </w:rPr>
        <w:t xml:space="preserve"> М</w:t>
      </w:r>
      <w:r w:rsidRPr="00BC73BB">
        <w:rPr>
          <w:rFonts w:ascii="Times New Roman" w:hAnsi="Times New Roman"/>
          <w:sz w:val="28"/>
          <w:szCs w:val="28"/>
          <w:lang w:val="uk-UA"/>
        </w:rPr>
        <w:t>.</w:t>
      </w:r>
      <w:r w:rsidRPr="00BC73BB">
        <w:rPr>
          <w:rFonts w:ascii="Times New Roman" w:hAnsi="Times New Roman"/>
          <w:sz w:val="28"/>
          <w:szCs w:val="28"/>
        </w:rPr>
        <w:t>: Из</w:t>
      </w:r>
      <w:r w:rsidRPr="00BC73BB">
        <w:rPr>
          <w:rFonts w:ascii="Times New Roman" w:hAnsi="Times New Roman"/>
          <w:sz w:val="28"/>
          <w:szCs w:val="28"/>
          <w:lang w:val="uk-UA"/>
        </w:rPr>
        <w:t>-</w:t>
      </w:r>
      <w:r w:rsidRPr="00BC73BB">
        <w:rPr>
          <w:rFonts w:ascii="Times New Roman" w:hAnsi="Times New Roman"/>
          <w:sz w:val="28"/>
          <w:szCs w:val="28"/>
        </w:rPr>
        <w:t xml:space="preserve">во </w:t>
      </w:r>
      <w:r w:rsidRPr="00BC73BB">
        <w:rPr>
          <w:rFonts w:ascii="Times New Roman" w:hAnsi="Times New Roman"/>
          <w:sz w:val="28"/>
          <w:szCs w:val="28"/>
          <w:lang w:val="uk-UA"/>
        </w:rPr>
        <w:t>АН</w:t>
      </w:r>
      <w:r w:rsidRPr="00BC73BB">
        <w:rPr>
          <w:rFonts w:ascii="Times New Roman" w:hAnsi="Times New Roman"/>
          <w:sz w:val="28"/>
          <w:szCs w:val="28"/>
        </w:rPr>
        <w:t xml:space="preserve"> СССР, 1957. 836 с</w:t>
      </w:r>
      <w:r w:rsidRPr="00BC73BB">
        <w:rPr>
          <w:rFonts w:ascii="Times New Roman" w:hAnsi="Times New Roman"/>
          <w:sz w:val="28"/>
          <w:szCs w:val="28"/>
          <w:lang w:val="uk-UA"/>
        </w:rPr>
        <w:t>.</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sz w:val="28"/>
          <w:szCs w:val="28"/>
          <w:lang w:val="uk-UA"/>
        </w:rPr>
        <w:t>136</w:t>
      </w:r>
      <w:r w:rsidRPr="00BC73BB">
        <w:rPr>
          <w:rFonts w:ascii="Times New Roman" w:hAnsi="Times New Roman"/>
          <w:sz w:val="28"/>
          <w:szCs w:val="28"/>
        </w:rPr>
        <w:t>.Владимиров Ю.В., Арчаков А.И. Перекисное окисление липидов в биологических мембранах. М.: Наука, 1972. 252 с.</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sz w:val="28"/>
          <w:szCs w:val="28"/>
          <w:lang w:val="uk-UA"/>
        </w:rPr>
        <w:t>137</w:t>
      </w:r>
      <w:r w:rsidRPr="00BC73BB">
        <w:rPr>
          <w:rFonts w:ascii="Times New Roman" w:hAnsi="Times New Roman"/>
          <w:sz w:val="28"/>
          <w:szCs w:val="28"/>
        </w:rPr>
        <w:t>.Заічко Н. В. Окислювальнамодифікаціябiлківсироваткикрові як маркер активностіревматоїдного артриту та їїзмінипідвпливомфармакотерапіїамізоном, індометацином, німесулідом</w:t>
      </w:r>
      <w:r w:rsidRPr="00BC73BB">
        <w:rPr>
          <w:rFonts w:ascii="Times New Roman" w:hAnsi="Times New Roman"/>
          <w:sz w:val="28"/>
          <w:szCs w:val="28"/>
          <w:lang w:val="uk-UA"/>
        </w:rPr>
        <w:t>.</w:t>
      </w:r>
      <w:r w:rsidRPr="00BC73BB">
        <w:rPr>
          <w:rFonts w:ascii="Times New Roman" w:hAnsi="Times New Roman"/>
          <w:sz w:val="28"/>
          <w:szCs w:val="28"/>
        </w:rPr>
        <w:t>Вісн</w:t>
      </w:r>
      <w:r w:rsidRPr="00BC73BB">
        <w:rPr>
          <w:rFonts w:ascii="Times New Roman" w:hAnsi="Times New Roman"/>
          <w:sz w:val="28"/>
          <w:szCs w:val="28"/>
          <w:lang w:val="uk-UA"/>
        </w:rPr>
        <w:t>.</w:t>
      </w:r>
      <w:r w:rsidRPr="00BC73BB">
        <w:rPr>
          <w:rFonts w:ascii="Times New Roman" w:hAnsi="Times New Roman"/>
          <w:sz w:val="28"/>
          <w:szCs w:val="28"/>
        </w:rPr>
        <w:t>Вінницького</w:t>
      </w:r>
      <w:r w:rsidRPr="00BC73BB">
        <w:rPr>
          <w:rFonts w:ascii="Times New Roman" w:hAnsi="Times New Roman"/>
          <w:sz w:val="28"/>
          <w:szCs w:val="28"/>
          <w:lang w:val="uk-UA"/>
        </w:rPr>
        <w:t>ДМУ</w:t>
      </w:r>
      <w:r w:rsidRPr="00BC73BB">
        <w:rPr>
          <w:rFonts w:ascii="Times New Roman" w:hAnsi="Times New Roman"/>
          <w:sz w:val="28"/>
          <w:szCs w:val="28"/>
        </w:rPr>
        <w:t>. 2003. №7 (2/2). С.664</w:t>
      </w:r>
      <w:r w:rsidRPr="00BC73BB">
        <w:rPr>
          <w:rFonts w:ascii="Times New Roman" w:hAnsi="Times New Roman"/>
          <w:bCs/>
          <w:sz w:val="28"/>
          <w:szCs w:val="28"/>
          <w:lang w:val="uk-UA"/>
        </w:rPr>
        <w:t>–</w:t>
      </w:r>
      <w:r w:rsidRPr="00BC73BB">
        <w:rPr>
          <w:rFonts w:ascii="Times New Roman" w:hAnsi="Times New Roman"/>
          <w:sz w:val="28"/>
          <w:szCs w:val="28"/>
        </w:rPr>
        <w:t>666.</w:t>
      </w:r>
    </w:p>
    <w:p w:rsidR="001F0A71" w:rsidRPr="00BC73BB" w:rsidRDefault="001F0A71" w:rsidP="00E1086D">
      <w:pPr>
        <w:tabs>
          <w:tab w:val="left" w:pos="851"/>
          <w:tab w:val="left" w:pos="993"/>
        </w:tabs>
        <w:spacing w:after="0" w:line="360" w:lineRule="auto"/>
        <w:ind w:firstLine="284"/>
        <w:jc w:val="both"/>
        <w:rPr>
          <w:rFonts w:ascii="Times New Roman" w:hAnsi="Times New Roman"/>
          <w:sz w:val="28"/>
          <w:szCs w:val="28"/>
        </w:rPr>
      </w:pPr>
      <w:r w:rsidRPr="00BC73BB">
        <w:rPr>
          <w:rFonts w:ascii="Times New Roman" w:hAnsi="Times New Roman"/>
          <w:sz w:val="28"/>
          <w:szCs w:val="28"/>
          <w:lang w:val="uk-UA"/>
        </w:rPr>
        <w:lastRenderedPageBreak/>
        <w:t>138</w:t>
      </w:r>
      <w:r w:rsidRPr="00BC73BB">
        <w:rPr>
          <w:rFonts w:ascii="Times New Roman" w:hAnsi="Times New Roman"/>
          <w:sz w:val="28"/>
          <w:szCs w:val="28"/>
        </w:rPr>
        <w:t>.Костюк В.А., Потапович А.И., Ковалева Ж.В. Простой и чувствительный метод определения активности супероксиддисмутазы, основанный на реакции окисления кверцитина</w:t>
      </w:r>
      <w:r w:rsidRPr="00BC73BB">
        <w:rPr>
          <w:rFonts w:ascii="Times New Roman" w:hAnsi="Times New Roman"/>
          <w:sz w:val="28"/>
          <w:szCs w:val="28"/>
          <w:lang w:val="uk-UA"/>
        </w:rPr>
        <w:t>.</w:t>
      </w:r>
      <w:r w:rsidRPr="00BC73BB">
        <w:rPr>
          <w:rFonts w:ascii="Times New Roman" w:hAnsi="Times New Roman"/>
          <w:sz w:val="28"/>
          <w:szCs w:val="28"/>
        </w:rPr>
        <w:t>Вопр. мед. хим. 1990.</w:t>
      </w:r>
      <w:r w:rsidRPr="00BC73BB">
        <w:rPr>
          <w:rFonts w:ascii="Times New Roman" w:hAnsi="Times New Roman"/>
          <w:sz w:val="28"/>
          <w:szCs w:val="28"/>
          <w:lang w:val="uk-UA"/>
        </w:rPr>
        <w:t xml:space="preserve"> № </w:t>
      </w:r>
      <w:r w:rsidRPr="00BC73BB">
        <w:rPr>
          <w:rFonts w:ascii="Times New Roman" w:hAnsi="Times New Roman"/>
          <w:sz w:val="28"/>
          <w:szCs w:val="28"/>
        </w:rPr>
        <w:t>2.С.88</w:t>
      </w:r>
      <w:r w:rsidRPr="00BC73BB">
        <w:rPr>
          <w:rFonts w:ascii="Times New Roman" w:hAnsi="Times New Roman"/>
          <w:bCs/>
          <w:sz w:val="28"/>
          <w:szCs w:val="28"/>
          <w:lang w:val="uk-UA"/>
        </w:rPr>
        <w:t>–</w:t>
      </w:r>
      <w:r w:rsidRPr="00BC73BB">
        <w:rPr>
          <w:rFonts w:ascii="Times New Roman" w:hAnsi="Times New Roman"/>
          <w:sz w:val="28"/>
          <w:szCs w:val="28"/>
        </w:rPr>
        <w:t>91</w:t>
      </w:r>
      <w:r w:rsidRPr="00BC73BB">
        <w:rPr>
          <w:rFonts w:ascii="Times New Roman" w:hAnsi="Times New Roman"/>
          <w:sz w:val="28"/>
          <w:szCs w:val="28"/>
          <w:lang w:val="uk-UA"/>
        </w:rPr>
        <w:t>.</w:t>
      </w:r>
    </w:p>
    <w:p w:rsidR="001F0A71" w:rsidRPr="00BC73BB" w:rsidRDefault="001F0A71" w:rsidP="00E1086D">
      <w:pPr>
        <w:tabs>
          <w:tab w:val="left" w:pos="851"/>
          <w:tab w:val="left" w:pos="993"/>
        </w:tabs>
        <w:spacing w:after="0" w:line="360" w:lineRule="auto"/>
        <w:ind w:firstLine="284"/>
        <w:jc w:val="both"/>
        <w:rPr>
          <w:rFonts w:ascii="Times New Roman" w:hAnsi="Times New Roman"/>
          <w:sz w:val="28"/>
          <w:szCs w:val="28"/>
        </w:rPr>
      </w:pPr>
      <w:r w:rsidRPr="00BC73BB">
        <w:rPr>
          <w:rFonts w:ascii="Times New Roman" w:hAnsi="Times New Roman"/>
          <w:sz w:val="28"/>
          <w:szCs w:val="28"/>
          <w:lang w:val="uk-UA"/>
        </w:rPr>
        <w:t>139</w:t>
      </w:r>
      <w:r w:rsidRPr="00BC73BB">
        <w:rPr>
          <w:rFonts w:ascii="Times New Roman" w:hAnsi="Times New Roman"/>
          <w:sz w:val="28"/>
          <w:szCs w:val="28"/>
        </w:rPr>
        <w:t>.Метод определения активности каталазы / М. А. Королюк и др. Лаб. дело. 1988. № 1. С. 16–19.</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eastAsia="uk-UA"/>
        </w:rPr>
        <w:t>140</w:t>
      </w:r>
      <w:r w:rsidRPr="00BC73BB">
        <w:rPr>
          <w:rFonts w:ascii="Times New Roman" w:hAnsi="Times New Roman"/>
          <w:sz w:val="28"/>
          <w:szCs w:val="28"/>
          <w:lang w:eastAsia="uk-UA"/>
        </w:rPr>
        <w:t>.</w:t>
      </w:r>
      <w:r w:rsidRPr="00BC73BB">
        <w:rPr>
          <w:rFonts w:ascii="Times New Roman" w:hAnsi="Times New Roman"/>
          <w:sz w:val="28"/>
          <w:szCs w:val="28"/>
          <w:lang w:val="uk-UA" w:eastAsia="uk-UA"/>
        </w:rPr>
        <w:t xml:space="preserve"> Власова С. Н., Шабунина Е. И., Перслегина И. А. Активностьглутатион-зависимыхферментовэритроцитов при хроническихзаболеванияхпечени у детей. Лаб. дело. 1990. № 8. С. 19–22.</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141. Гула Н. М. Косякова Г. В., Бердишев А. Г. Вплив </w:t>
      </w:r>
      <w:r w:rsidRPr="00BC73BB">
        <w:rPr>
          <w:rFonts w:ascii="Times New Roman" w:hAnsi="Times New Roman"/>
          <w:sz w:val="28"/>
          <w:szCs w:val="28"/>
        </w:rPr>
        <w:t>N</w:t>
      </w:r>
      <w:r w:rsidRPr="00BC73BB">
        <w:rPr>
          <w:rFonts w:ascii="Times New Roman" w:hAnsi="Times New Roman"/>
          <w:sz w:val="28"/>
          <w:szCs w:val="28"/>
          <w:lang w:val="uk-UA"/>
        </w:rPr>
        <w:t xml:space="preserve">-стеароїлетаноламіну на </w:t>
      </w:r>
      <w:r w:rsidRPr="00BC73BB">
        <w:rPr>
          <w:rFonts w:ascii="Times New Roman" w:hAnsi="Times New Roman"/>
          <w:sz w:val="28"/>
          <w:szCs w:val="28"/>
        </w:rPr>
        <w:t>NO</w:t>
      </w:r>
      <w:r w:rsidRPr="00BC73BB">
        <w:rPr>
          <w:rFonts w:ascii="Times New Roman" w:hAnsi="Times New Roman"/>
          <w:sz w:val="28"/>
          <w:szCs w:val="28"/>
          <w:lang w:val="uk-UA"/>
        </w:rPr>
        <w:t>-синтазний шлях генерації оксиду азоту в аорті та серці щурів із стрептозотоциніндукованим діабетом. Укр. біохім. журн. 2007. Т. 79, № 5. С. 153–158.</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142. Попова Л. Д. Вплив триптофану на вміст нейромедіаторів в головному мозку щурів із різним рівнем судомної готовності. Мед. хім. 2007. № 1. С.82</w:t>
      </w:r>
      <w:r w:rsidRPr="00BC73BB">
        <w:rPr>
          <w:rFonts w:ascii="Times New Roman" w:hAnsi="Times New Roman"/>
          <w:bCs/>
          <w:sz w:val="28"/>
          <w:szCs w:val="28"/>
          <w:lang w:val="uk-UA"/>
        </w:rPr>
        <w:t>–</w:t>
      </w:r>
      <w:r w:rsidRPr="00BC73BB">
        <w:rPr>
          <w:rFonts w:ascii="Times New Roman" w:hAnsi="Times New Roman"/>
          <w:sz w:val="28"/>
          <w:szCs w:val="28"/>
          <w:lang w:val="uk-UA"/>
        </w:rPr>
        <w:t>85.</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143</w:t>
      </w:r>
      <w:r w:rsidRPr="00BC73BB">
        <w:rPr>
          <w:rFonts w:ascii="Times New Roman" w:hAnsi="Times New Roman"/>
          <w:sz w:val="28"/>
          <w:szCs w:val="28"/>
        </w:rPr>
        <w:t>.Кочетов Г.А. Практическое руководство по энзимологии. М</w:t>
      </w:r>
      <w:r w:rsidRPr="00BC73BB">
        <w:rPr>
          <w:rFonts w:ascii="Times New Roman" w:hAnsi="Times New Roman"/>
          <w:sz w:val="28"/>
          <w:szCs w:val="28"/>
          <w:lang w:val="en-US"/>
        </w:rPr>
        <w:t xml:space="preserve">.: </w:t>
      </w:r>
      <w:r w:rsidRPr="00BC73BB">
        <w:rPr>
          <w:rFonts w:ascii="Times New Roman" w:hAnsi="Times New Roman"/>
          <w:sz w:val="28"/>
          <w:szCs w:val="28"/>
        </w:rPr>
        <w:t>Высшаяшкола</w:t>
      </w:r>
      <w:r w:rsidRPr="00BC73BB">
        <w:rPr>
          <w:rFonts w:ascii="Times New Roman" w:hAnsi="Times New Roman"/>
          <w:sz w:val="28"/>
          <w:szCs w:val="28"/>
          <w:lang w:val="en-US"/>
        </w:rPr>
        <w:t xml:space="preserve">, 1980. 272 </w:t>
      </w:r>
      <w:r w:rsidRPr="00BC73BB">
        <w:rPr>
          <w:rFonts w:ascii="Times New Roman" w:hAnsi="Times New Roman"/>
          <w:sz w:val="28"/>
          <w:szCs w:val="28"/>
        </w:rPr>
        <w:t>с</w:t>
      </w:r>
      <w:r w:rsidRPr="00BC73BB">
        <w:rPr>
          <w:rFonts w:ascii="Times New Roman" w:hAnsi="Times New Roman"/>
          <w:sz w:val="28"/>
          <w:szCs w:val="28"/>
          <w:lang w:val="uk-UA"/>
        </w:rPr>
        <w:t>.</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144</w:t>
      </w:r>
      <w:r w:rsidRPr="00BC73BB">
        <w:rPr>
          <w:rFonts w:ascii="Times New Roman" w:hAnsi="Times New Roman"/>
          <w:sz w:val="28"/>
          <w:szCs w:val="28"/>
          <w:lang w:val="en-US"/>
        </w:rPr>
        <w:t>.</w:t>
      </w:r>
      <w:r w:rsidRPr="00BC73BB">
        <w:rPr>
          <w:rFonts w:ascii="Times New Roman" w:hAnsi="Times New Roman"/>
          <w:sz w:val="28"/>
          <w:szCs w:val="28"/>
          <w:lang w:val="uk-UA"/>
        </w:rPr>
        <w:t xml:space="preserve">Portier B. P. Ferrari D. C., Taglialatela G. Rapidassayforquantitativemeasurementofapoptosisinculturedcellsandbraintissue. J. Neurosc. Methods. 2006. </w:t>
      </w:r>
      <w:r w:rsidRPr="00BC73BB">
        <w:rPr>
          <w:rFonts w:ascii="Times New Roman" w:hAnsi="Times New Roman"/>
          <w:sz w:val="28"/>
          <w:szCs w:val="28"/>
          <w:lang w:val="en-US"/>
        </w:rPr>
        <w:t>Vol</w:t>
      </w:r>
      <w:r w:rsidRPr="00BC73BB">
        <w:rPr>
          <w:rFonts w:ascii="Times New Roman" w:hAnsi="Times New Roman"/>
          <w:sz w:val="28"/>
          <w:szCs w:val="28"/>
          <w:lang w:val="uk-UA"/>
        </w:rPr>
        <w:t xml:space="preserve">. 15, 155 (1). </w:t>
      </w:r>
      <w:r w:rsidRPr="00BC73BB">
        <w:rPr>
          <w:rFonts w:ascii="Times New Roman" w:hAnsi="Times New Roman"/>
          <w:sz w:val="28"/>
          <w:szCs w:val="28"/>
          <w:lang w:val="en-US"/>
        </w:rPr>
        <w:t>P</w:t>
      </w:r>
      <w:r w:rsidRPr="00BC73BB">
        <w:rPr>
          <w:rFonts w:ascii="Times New Roman" w:hAnsi="Times New Roman"/>
          <w:sz w:val="28"/>
          <w:szCs w:val="28"/>
          <w:lang w:val="uk-UA"/>
        </w:rPr>
        <w:t>. 134</w:t>
      </w:r>
      <w:r w:rsidRPr="00BC73BB">
        <w:rPr>
          <w:rFonts w:ascii="Times New Roman" w:hAnsi="Times New Roman"/>
          <w:bCs/>
          <w:sz w:val="28"/>
          <w:szCs w:val="28"/>
          <w:lang w:val="uk-UA"/>
        </w:rPr>
        <w:t>–</w:t>
      </w:r>
      <w:r w:rsidRPr="00BC73BB">
        <w:rPr>
          <w:rFonts w:ascii="Times New Roman" w:hAnsi="Times New Roman"/>
          <w:sz w:val="28"/>
          <w:szCs w:val="28"/>
          <w:lang w:val="uk-UA"/>
        </w:rPr>
        <w:t>142.</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bCs/>
          <w:sz w:val="28"/>
          <w:szCs w:val="28"/>
          <w:lang w:val="uk-UA"/>
        </w:rPr>
      </w:pPr>
      <w:r w:rsidRPr="00BC73BB">
        <w:rPr>
          <w:rFonts w:ascii="Times New Roman" w:hAnsi="Times New Roman"/>
          <w:bCs/>
          <w:sz w:val="28"/>
          <w:szCs w:val="28"/>
          <w:lang w:val="uk-UA"/>
        </w:rPr>
        <w:t xml:space="preserve">145. Багаурі О. В., </w:t>
      </w:r>
      <w:r w:rsidRPr="00BC73BB">
        <w:rPr>
          <w:rFonts w:ascii="Times New Roman" w:eastAsia="TimesNewRoman" w:hAnsi="Times New Roman"/>
          <w:bCs/>
          <w:sz w:val="28"/>
          <w:szCs w:val="28"/>
          <w:lang w:val="uk-UA"/>
        </w:rPr>
        <w:t xml:space="preserve">Ходаківський О. А. Характеристика морфологічних змін сомато-сенсорної кори головного мозку щурів на тлі експериментальної терапії модельного інсульту похідним 3,2'-спіро-пірроло-2-оксіндолу (сполука R-86) та цитиколіном. </w:t>
      </w:r>
      <w:r w:rsidRPr="00BC73BB">
        <w:rPr>
          <w:rFonts w:ascii="Times New Roman" w:hAnsi="Times New Roman"/>
          <w:bCs/>
          <w:sz w:val="28"/>
          <w:szCs w:val="28"/>
          <w:lang w:val="uk-UA"/>
        </w:rPr>
        <w:t>Укр. мед. альм. 2013. Т. 16, № 5. С. 3</w:t>
      </w:r>
      <w:r w:rsidRPr="00BC73BB">
        <w:rPr>
          <w:rFonts w:ascii="Times New Roman" w:hAnsi="Times New Roman"/>
          <w:sz w:val="28"/>
          <w:szCs w:val="28"/>
          <w:lang w:val="uk-UA"/>
        </w:rPr>
        <w:t>–</w:t>
      </w:r>
      <w:r w:rsidRPr="00BC73BB">
        <w:rPr>
          <w:rFonts w:ascii="Times New Roman" w:hAnsi="Times New Roman"/>
          <w:bCs/>
          <w:sz w:val="28"/>
          <w:szCs w:val="28"/>
          <w:lang w:val="uk-UA"/>
        </w:rPr>
        <w:t>8.</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rPr>
      </w:pPr>
      <w:r w:rsidRPr="00BC73BB">
        <w:rPr>
          <w:rFonts w:ascii="Times New Roman" w:hAnsi="Times New Roman"/>
          <w:sz w:val="28"/>
          <w:szCs w:val="28"/>
          <w:lang w:val="uk-UA"/>
        </w:rPr>
        <w:t>146</w:t>
      </w:r>
      <w:r w:rsidRPr="00BC73BB">
        <w:rPr>
          <w:rFonts w:ascii="Times New Roman" w:hAnsi="Times New Roman"/>
          <w:sz w:val="28"/>
          <w:szCs w:val="28"/>
        </w:rPr>
        <w:t>.Лакин Г. Ф. Биометрия</w:t>
      </w:r>
      <w:r w:rsidRPr="00BC73BB">
        <w:rPr>
          <w:rFonts w:ascii="Times New Roman" w:hAnsi="Times New Roman"/>
          <w:sz w:val="28"/>
          <w:szCs w:val="28"/>
          <w:lang w:val="uk-UA"/>
        </w:rPr>
        <w:t>.</w:t>
      </w:r>
      <w:r w:rsidRPr="00BC73BB">
        <w:rPr>
          <w:rFonts w:ascii="Times New Roman" w:hAnsi="Times New Roman"/>
          <w:sz w:val="28"/>
          <w:szCs w:val="28"/>
        </w:rPr>
        <w:t xml:space="preserve"> М.: Высш</w:t>
      </w:r>
      <w:r w:rsidRPr="00BC73BB">
        <w:rPr>
          <w:rFonts w:ascii="Times New Roman" w:hAnsi="Times New Roman"/>
          <w:sz w:val="28"/>
          <w:szCs w:val="28"/>
          <w:lang w:val="uk-UA"/>
        </w:rPr>
        <w:t>ая</w:t>
      </w:r>
      <w:r w:rsidRPr="00BC73BB">
        <w:rPr>
          <w:rFonts w:ascii="Times New Roman" w:hAnsi="Times New Roman"/>
          <w:sz w:val="28"/>
          <w:szCs w:val="28"/>
        </w:rPr>
        <w:t>шк</w:t>
      </w:r>
      <w:r w:rsidRPr="00BC73BB">
        <w:rPr>
          <w:rFonts w:ascii="Times New Roman" w:hAnsi="Times New Roman"/>
          <w:sz w:val="28"/>
          <w:szCs w:val="28"/>
          <w:lang w:val="uk-UA"/>
        </w:rPr>
        <w:t>ола</w:t>
      </w:r>
      <w:r w:rsidRPr="00BC73BB">
        <w:rPr>
          <w:rFonts w:ascii="Times New Roman" w:hAnsi="Times New Roman"/>
          <w:sz w:val="28"/>
          <w:szCs w:val="28"/>
        </w:rPr>
        <w:t>. 1990. 352 с.</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147</w:t>
      </w:r>
      <w:r w:rsidRPr="00BC73BB">
        <w:rPr>
          <w:rFonts w:ascii="Times New Roman" w:hAnsi="Times New Roman"/>
          <w:sz w:val="28"/>
          <w:szCs w:val="28"/>
        </w:rPr>
        <w:t>.Лапач С. Н.</w:t>
      </w:r>
      <w:r w:rsidRPr="00BC73BB">
        <w:rPr>
          <w:rFonts w:ascii="Times New Roman" w:hAnsi="Times New Roman"/>
          <w:sz w:val="28"/>
          <w:szCs w:val="28"/>
          <w:lang w:val="uk-UA"/>
        </w:rPr>
        <w:t>,</w:t>
      </w:r>
      <w:r w:rsidRPr="00BC73BB">
        <w:rPr>
          <w:rFonts w:ascii="Times New Roman" w:hAnsi="Times New Roman"/>
          <w:sz w:val="28"/>
          <w:szCs w:val="28"/>
        </w:rPr>
        <w:t xml:space="preserve"> Чубенко А. В., Бабич П. Н. Статистика в науке и бизнесе: практическое руководство</w:t>
      </w:r>
      <w:r w:rsidRPr="00BC73BB">
        <w:rPr>
          <w:rFonts w:ascii="Times New Roman" w:hAnsi="Times New Roman"/>
          <w:sz w:val="28"/>
          <w:szCs w:val="28"/>
          <w:lang w:val="uk-UA"/>
        </w:rPr>
        <w:t>.</w:t>
      </w:r>
      <w:r w:rsidRPr="00BC73BB">
        <w:rPr>
          <w:rFonts w:ascii="Times New Roman" w:hAnsi="Times New Roman"/>
          <w:sz w:val="28"/>
          <w:szCs w:val="28"/>
        </w:rPr>
        <w:t xml:space="preserve"> К.: Морион, 2002. 640 с.</w:t>
      </w:r>
    </w:p>
    <w:p w:rsidR="001F0A71" w:rsidRPr="00BC73BB" w:rsidRDefault="001F0A71" w:rsidP="00E1086D">
      <w:pPr>
        <w:pStyle w:val="a5"/>
        <w:shd w:val="clear" w:color="auto" w:fill="FFFFFF"/>
        <w:tabs>
          <w:tab w:val="left" w:pos="-1080"/>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148</w:t>
      </w:r>
      <w:r w:rsidRPr="00BC73BB">
        <w:rPr>
          <w:rFonts w:ascii="Times New Roman" w:hAnsi="Times New Roman"/>
          <w:sz w:val="28"/>
          <w:szCs w:val="28"/>
        </w:rPr>
        <w:t>.</w:t>
      </w:r>
      <w:r w:rsidRPr="00BC73BB">
        <w:rPr>
          <w:rFonts w:ascii="Times New Roman" w:hAnsi="Times New Roman"/>
          <w:sz w:val="28"/>
          <w:szCs w:val="28"/>
          <w:lang w:val="uk-UA"/>
        </w:rPr>
        <w:t>Буднюк О. О., Карташов О. А., Артеменко В. Ю. Нейрон-специфічна енолаза як маркер пошкодження головного мозку та ефективності нейропротекторної терапії при гострій церебральній недостатності. Новости мед. и фарм. 2016. № 4 (579). С. 8</w:t>
      </w:r>
      <w:r w:rsidRPr="00BC73BB">
        <w:rPr>
          <w:rFonts w:ascii="Times New Roman" w:hAnsi="Times New Roman"/>
          <w:bCs/>
          <w:sz w:val="28"/>
          <w:szCs w:val="28"/>
          <w:lang w:val="uk-UA"/>
        </w:rPr>
        <w:t>–</w:t>
      </w:r>
      <w:r w:rsidRPr="00BC73BB">
        <w:rPr>
          <w:rFonts w:ascii="Times New Roman" w:hAnsi="Times New Roman"/>
          <w:sz w:val="28"/>
          <w:szCs w:val="28"/>
          <w:lang w:val="uk-UA"/>
        </w:rPr>
        <w:t>10.</w:t>
      </w:r>
    </w:p>
    <w:p w:rsidR="001F0A71" w:rsidRPr="00BC73BB" w:rsidRDefault="001F0A71" w:rsidP="00E1086D">
      <w:pPr>
        <w:pStyle w:val="a5"/>
        <w:shd w:val="clear" w:color="auto" w:fill="FFFFFF"/>
        <w:tabs>
          <w:tab w:val="left" w:pos="-1080"/>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uk-UA"/>
        </w:rPr>
        <w:lastRenderedPageBreak/>
        <w:t>149</w:t>
      </w:r>
      <w:r w:rsidRPr="00BC73BB">
        <w:rPr>
          <w:rFonts w:ascii="Times New Roman" w:hAnsi="Times New Roman"/>
          <w:sz w:val="28"/>
          <w:szCs w:val="28"/>
          <w:lang w:val="en-US"/>
        </w:rPr>
        <w:t xml:space="preserve">. Use of neuron-specific enolase to predict mild brain injury in motorcycle crash patients with maxillofacial fractures: </w:t>
      </w:r>
      <w:r w:rsidRPr="00BC73BB">
        <w:rPr>
          <w:rFonts w:ascii="Times New Roman" w:hAnsi="Times New Roman"/>
          <w:sz w:val="28"/>
          <w:szCs w:val="28"/>
          <w:lang w:val="uk-UA"/>
        </w:rPr>
        <w:t>а</w:t>
      </w:r>
      <w:r w:rsidRPr="00BC73BB">
        <w:rPr>
          <w:rFonts w:ascii="Times New Roman" w:hAnsi="Times New Roman"/>
          <w:sz w:val="28"/>
          <w:szCs w:val="28"/>
          <w:lang w:val="en-US"/>
        </w:rPr>
        <w:t xml:space="preserve"> pilot study</w:t>
      </w:r>
      <w:r w:rsidRPr="00BC73BB">
        <w:rPr>
          <w:rFonts w:ascii="Times New Roman" w:hAnsi="Times New Roman"/>
          <w:sz w:val="28"/>
          <w:szCs w:val="28"/>
          <w:lang w:val="uk-UA"/>
        </w:rPr>
        <w:t xml:space="preserve"> /</w:t>
      </w:r>
      <w:r w:rsidRPr="00BC73BB">
        <w:rPr>
          <w:rFonts w:ascii="Times New Roman" w:hAnsi="Times New Roman"/>
          <w:sz w:val="28"/>
          <w:szCs w:val="28"/>
          <w:lang w:val="en-US"/>
        </w:rPr>
        <w:t xml:space="preserve"> M.Ruslin</w:t>
      </w:r>
      <w:r w:rsidRPr="00BC73BB">
        <w:rPr>
          <w:rFonts w:ascii="Times New Roman" w:hAnsi="Times New Roman"/>
          <w:bCs/>
          <w:sz w:val="28"/>
          <w:szCs w:val="28"/>
          <w:lang w:val="uk-UA"/>
        </w:rPr>
        <w:t xml:space="preserve">etal. </w:t>
      </w:r>
      <w:r w:rsidRPr="00BC73BB">
        <w:rPr>
          <w:rFonts w:ascii="Times New Roman" w:hAnsi="Times New Roman"/>
          <w:sz w:val="28"/>
          <w:szCs w:val="28"/>
          <w:lang w:val="en-US"/>
        </w:rPr>
        <w:t xml:space="preserve">Chin. J. Traumatol. 2019. Vol. 22(1). </w:t>
      </w:r>
      <w:r w:rsidRPr="00BC73BB">
        <w:rPr>
          <w:rFonts w:ascii="Times New Roman" w:hAnsi="Times New Roman"/>
          <w:sz w:val="28"/>
          <w:szCs w:val="28"/>
        </w:rPr>
        <w:t>Р</w:t>
      </w:r>
      <w:r w:rsidRPr="00BC73BB">
        <w:rPr>
          <w:rFonts w:ascii="Times New Roman" w:hAnsi="Times New Roman"/>
          <w:sz w:val="28"/>
          <w:szCs w:val="28"/>
          <w:lang w:val="en-US"/>
        </w:rPr>
        <w:t>. 47</w:t>
      </w:r>
      <w:r w:rsidRPr="00BC73BB">
        <w:rPr>
          <w:rFonts w:ascii="Times New Roman" w:hAnsi="Times New Roman"/>
          <w:bCs/>
          <w:sz w:val="28"/>
          <w:szCs w:val="28"/>
          <w:lang w:val="uk-UA"/>
        </w:rPr>
        <w:t>–</w:t>
      </w:r>
      <w:r w:rsidRPr="00BC73BB">
        <w:rPr>
          <w:rFonts w:ascii="Times New Roman" w:hAnsi="Times New Roman"/>
          <w:sz w:val="28"/>
          <w:szCs w:val="28"/>
          <w:lang w:val="en-US"/>
        </w:rPr>
        <w:t>50.</w:t>
      </w:r>
    </w:p>
    <w:p w:rsidR="001F0A71" w:rsidRPr="00BC73BB" w:rsidRDefault="001F0A71" w:rsidP="00E1086D">
      <w:pPr>
        <w:pStyle w:val="a5"/>
        <w:tabs>
          <w:tab w:val="left" w:pos="-1080"/>
          <w:tab w:val="left" w:pos="851"/>
          <w:tab w:val="left" w:pos="993"/>
        </w:tabs>
        <w:spacing w:after="0" w:line="360" w:lineRule="auto"/>
        <w:ind w:left="0" w:firstLine="284"/>
        <w:jc w:val="both"/>
        <w:rPr>
          <w:rFonts w:ascii="Times New Roman" w:hAnsi="Times New Roman"/>
          <w:sz w:val="28"/>
          <w:szCs w:val="28"/>
          <w:highlight w:val="green"/>
          <w:lang w:val="uk-UA"/>
        </w:rPr>
      </w:pPr>
      <w:r w:rsidRPr="00BC73BB">
        <w:rPr>
          <w:rFonts w:ascii="Times New Roman" w:hAnsi="Times New Roman"/>
          <w:sz w:val="28"/>
          <w:szCs w:val="28"/>
          <w:lang w:val="uk-UA"/>
        </w:rPr>
        <w:t>150</w:t>
      </w:r>
      <w:r w:rsidRPr="00BC73BB">
        <w:rPr>
          <w:rFonts w:ascii="Times New Roman" w:hAnsi="Times New Roman"/>
          <w:sz w:val="28"/>
          <w:szCs w:val="28"/>
          <w:lang w:val="en-US"/>
        </w:rPr>
        <w:t>.Prognostic value of somatosensory evoked potentials, neuronspecific enolase, and S100 for short-term outcome in ischemic stroke</w:t>
      </w:r>
      <w:r w:rsidRPr="00BC73BB">
        <w:rPr>
          <w:rFonts w:ascii="Times New Roman" w:hAnsi="Times New Roman"/>
          <w:sz w:val="28"/>
          <w:szCs w:val="28"/>
          <w:lang w:val="uk-UA"/>
        </w:rPr>
        <w:t xml:space="preserve"> / </w:t>
      </w:r>
      <w:r w:rsidRPr="00BC73BB">
        <w:rPr>
          <w:rFonts w:ascii="Times New Roman" w:hAnsi="Times New Roman"/>
          <w:sz w:val="28"/>
          <w:szCs w:val="28"/>
          <w:lang w:val="en-US"/>
        </w:rPr>
        <w:t>W</w:t>
      </w:r>
      <w:r w:rsidRPr="00BC73BB">
        <w:rPr>
          <w:rFonts w:ascii="Times New Roman" w:hAnsi="Times New Roman"/>
          <w:sz w:val="28"/>
          <w:szCs w:val="28"/>
          <w:lang w:val="uk-UA"/>
        </w:rPr>
        <w:t>.</w:t>
      </w:r>
      <w:r w:rsidRPr="00BC73BB">
        <w:rPr>
          <w:rFonts w:ascii="Times New Roman" w:hAnsi="Times New Roman"/>
          <w:sz w:val="28"/>
          <w:szCs w:val="28"/>
          <w:lang w:val="en-US"/>
        </w:rPr>
        <w:t xml:space="preserve"> F. Haupt et al.J</w:t>
      </w:r>
      <w:r w:rsidRPr="00BC73BB">
        <w:rPr>
          <w:rFonts w:ascii="Times New Roman" w:hAnsi="Times New Roman"/>
          <w:sz w:val="28"/>
          <w:szCs w:val="28"/>
          <w:lang w:val="uk-UA"/>
        </w:rPr>
        <w:t xml:space="preserve">. </w:t>
      </w:r>
      <w:r w:rsidRPr="00BC73BB">
        <w:rPr>
          <w:rFonts w:ascii="Times New Roman" w:hAnsi="Times New Roman"/>
          <w:sz w:val="28"/>
          <w:szCs w:val="28"/>
          <w:lang w:val="en-US"/>
        </w:rPr>
        <w:t>Neurophys</w:t>
      </w:r>
      <w:r w:rsidRPr="00BC73BB">
        <w:rPr>
          <w:rFonts w:ascii="Times New Roman" w:hAnsi="Times New Roman"/>
          <w:sz w:val="28"/>
          <w:szCs w:val="28"/>
          <w:lang w:val="uk-UA"/>
        </w:rPr>
        <w:t xml:space="preserve">. 2016. – </w:t>
      </w:r>
      <w:r w:rsidRPr="00BC73BB">
        <w:rPr>
          <w:rFonts w:ascii="Times New Roman" w:hAnsi="Times New Roman"/>
          <w:sz w:val="28"/>
          <w:szCs w:val="28"/>
          <w:lang w:val="en-US"/>
        </w:rPr>
        <w:t>Vol</w:t>
      </w:r>
      <w:r w:rsidRPr="00BC73BB">
        <w:rPr>
          <w:rFonts w:ascii="Times New Roman" w:hAnsi="Times New Roman"/>
          <w:sz w:val="28"/>
          <w:szCs w:val="28"/>
          <w:lang w:val="uk-UA"/>
        </w:rPr>
        <w:t xml:space="preserve">. 115 (3). </w:t>
      </w:r>
      <w:r w:rsidRPr="00BC73BB">
        <w:rPr>
          <w:rFonts w:ascii="Times New Roman" w:hAnsi="Times New Roman"/>
          <w:sz w:val="28"/>
          <w:szCs w:val="28"/>
          <w:lang w:val="en-US"/>
        </w:rPr>
        <w:t>P</w:t>
      </w:r>
      <w:r w:rsidRPr="00BC73BB">
        <w:rPr>
          <w:rFonts w:ascii="Times New Roman" w:hAnsi="Times New Roman"/>
          <w:sz w:val="28"/>
          <w:szCs w:val="28"/>
          <w:lang w:val="uk-UA"/>
        </w:rPr>
        <w:t>. 1273–1278.</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151. Жабоєдова Н. В., Ходаківський О. А. Дослідження неврологічного дефіциту у щурів із геморагічним інсультом на тлі терапії адемолом та оцінка його мнемотропної активності. Механізми розвитку патологічних процесів і хвороб та їхня фармакологічна корекція : матеріали І наук.-практ. інтернет-конфер. з міжнар. уч. (18 жовтня 2018). Х. : НФаУ, 2018. С. 90</w:t>
      </w:r>
      <w:r w:rsidRPr="00BC73BB">
        <w:rPr>
          <w:rFonts w:ascii="Times New Roman" w:hAnsi="Times New Roman"/>
          <w:bCs/>
          <w:sz w:val="28"/>
          <w:szCs w:val="28"/>
          <w:lang w:val="uk-UA"/>
        </w:rPr>
        <w:t>–91.</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152. Жабоєдова Н. В., Ходаківський О. А. Дослідження метаболічних процесів у головному мозку за умов геморагічного інсульту на тлі фармакотерапії адемолом. Вісн. Вінницького НМУ. 2019. № 3 (23). С. 360</w:t>
      </w:r>
      <w:r w:rsidRPr="00BC73BB">
        <w:rPr>
          <w:rFonts w:ascii="Times New Roman" w:hAnsi="Times New Roman"/>
          <w:bCs/>
          <w:sz w:val="28"/>
          <w:szCs w:val="28"/>
          <w:lang w:val="uk-UA"/>
        </w:rPr>
        <w:t>–</w:t>
      </w:r>
      <w:r w:rsidRPr="00BC73BB">
        <w:rPr>
          <w:rFonts w:ascii="Times New Roman" w:hAnsi="Times New Roman"/>
          <w:sz w:val="28"/>
          <w:szCs w:val="28"/>
          <w:lang w:val="uk-UA"/>
        </w:rPr>
        <w:t>367.</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bookmarkStart w:id="43" w:name="_Hlk50194340"/>
      <w:r w:rsidRPr="00BC73BB">
        <w:rPr>
          <w:rFonts w:ascii="Times New Roman" w:hAnsi="Times New Roman"/>
          <w:sz w:val="28"/>
          <w:szCs w:val="28"/>
          <w:lang w:val="uk-UA"/>
        </w:rPr>
        <w:t xml:space="preserve">153. Жабоєдова Н. В., Ходаківський О. А. Оцінка імуноферментрних та протоково-цитометричних маркерів церебропротекторної дії адемолу в умовах експериментального геморагічного інсульту за активністю процесів нейроцитолізу, нейроапоптозу та нейропроліферації. Механізми розвитку патологічних процесів і хвороб та їхня  фармакологічна корекція: тези доп. ІІ наук.-практ. інтернет-конфер. з між нар. уч. (Харків, 21 листопада 2019 р.). </w:t>
      </w:r>
      <w:bookmarkEnd w:id="43"/>
      <w:r w:rsidRPr="00BC73BB">
        <w:rPr>
          <w:rFonts w:ascii="Times New Roman" w:hAnsi="Times New Roman"/>
          <w:sz w:val="28"/>
          <w:szCs w:val="28"/>
          <w:lang w:val="uk-UA"/>
        </w:rPr>
        <w:t>Х.: НФаУ, 2019. С. 153</w:t>
      </w:r>
      <w:r w:rsidRPr="00BC73BB">
        <w:rPr>
          <w:rFonts w:ascii="Times New Roman" w:hAnsi="Times New Roman"/>
          <w:bCs/>
          <w:sz w:val="28"/>
          <w:szCs w:val="28"/>
          <w:lang w:val="uk-UA"/>
        </w:rPr>
        <w:t>–154.</w:t>
      </w:r>
    </w:p>
    <w:p w:rsidR="001F0A71" w:rsidRPr="00BC73BB" w:rsidRDefault="001F0A71" w:rsidP="00E1086D">
      <w:pPr>
        <w:pStyle w:val="a5"/>
        <w:widowControl w:val="0"/>
        <w:tabs>
          <w:tab w:val="left" w:pos="851"/>
          <w:tab w:val="left" w:pos="993"/>
        </w:tabs>
        <w:autoSpaceDE w:val="0"/>
        <w:autoSpaceDN w:val="0"/>
        <w:adjustRightInd w:val="0"/>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154</w:t>
      </w:r>
      <w:r w:rsidRPr="00BC73BB">
        <w:rPr>
          <w:rFonts w:ascii="Times New Roman" w:hAnsi="Times New Roman"/>
          <w:sz w:val="28"/>
          <w:szCs w:val="28"/>
        </w:rPr>
        <w:t>.</w:t>
      </w:r>
      <w:r w:rsidRPr="00BC73BB">
        <w:rPr>
          <w:rFonts w:ascii="Times New Roman" w:hAnsi="Times New Roman"/>
          <w:sz w:val="28"/>
          <w:szCs w:val="28"/>
          <w:lang w:val="uk-UA"/>
        </w:rPr>
        <w:t>Галица В. В. Беленичев И. Ф., Коваленко С. И. Нейропротективныеэффектыбензиловогоэфира 2-(3,4-дигидро-3-оксо-2Н-[1,2,4]-триазино[4,3-с] хиназолин-4-ил)уксуснойкислоты (ко-17) в условияхмоделированиявнутримозговогокровоизлияния. Нейронауки: теорет. та клін. аспекти. 2008. № 2. С. 74–77.</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uk-UA"/>
        </w:rPr>
        <w:t>155</w:t>
      </w:r>
      <w:r w:rsidRPr="00BC73BB">
        <w:rPr>
          <w:rFonts w:ascii="Times New Roman" w:hAnsi="Times New Roman"/>
          <w:sz w:val="28"/>
          <w:szCs w:val="28"/>
          <w:lang w:val="en-US"/>
        </w:rPr>
        <w:t>.</w:t>
      </w:r>
      <w:hyperlink r:id="rId79" w:history="1">
        <w:r w:rsidRPr="00BC73BB">
          <w:rPr>
            <w:rFonts w:ascii="Times New Roman" w:hAnsi="Times New Roman"/>
            <w:sz w:val="28"/>
            <w:szCs w:val="28"/>
            <w:shd w:val="clear" w:color="auto" w:fill="FFFFFF"/>
            <w:lang w:val="en-US"/>
          </w:rPr>
          <w:t>Animal Stroke</w:t>
        </w:r>
        <w:r w:rsidRPr="00BC73BB">
          <w:rPr>
            <w:rFonts w:ascii="Times New Roman" w:hAnsi="Times New Roman"/>
            <w:bCs/>
            <w:sz w:val="28"/>
            <w:szCs w:val="28"/>
            <w:shd w:val="clear" w:color="auto" w:fill="FFFFFF"/>
            <w:lang w:val="en-US"/>
          </w:rPr>
          <w:t>Model</w:t>
        </w:r>
        <w:r w:rsidRPr="00BC73BB">
          <w:rPr>
            <w:rFonts w:ascii="Times New Roman" w:hAnsi="Times New Roman"/>
            <w:sz w:val="28"/>
            <w:szCs w:val="28"/>
            <w:shd w:val="clear" w:color="auto" w:fill="FFFFFF"/>
            <w:lang w:val="en-US"/>
          </w:rPr>
          <w:t>: Ischemia-Reperfusion and</w:t>
        </w:r>
        <w:r w:rsidRPr="00BC73BB">
          <w:rPr>
            <w:rFonts w:ascii="Times New Roman" w:hAnsi="Times New Roman"/>
            <w:bCs/>
            <w:sz w:val="28"/>
            <w:szCs w:val="28"/>
            <w:shd w:val="clear" w:color="auto" w:fill="FFFFFF"/>
            <w:lang w:val="en-US"/>
          </w:rPr>
          <w:t>IntracerebralHemorrhage</w:t>
        </w:r>
        <w:r w:rsidRPr="00BC73BB">
          <w:rPr>
            <w:rFonts w:ascii="Times New Roman" w:hAnsi="Times New Roman"/>
            <w:sz w:val="28"/>
            <w:szCs w:val="28"/>
            <w:lang w:val="uk-UA"/>
          </w:rPr>
          <w:t xml:space="preserve">/ C. </w:t>
        </w:r>
        <w:r w:rsidRPr="00BC73BB">
          <w:rPr>
            <w:rFonts w:ascii="Times New Roman" w:hAnsi="Times New Roman"/>
            <w:sz w:val="28"/>
            <w:szCs w:val="28"/>
            <w:lang w:val="en-US"/>
          </w:rPr>
          <w:t xml:space="preserve">Ren </w:t>
        </w:r>
      </w:hyperlink>
      <w:r w:rsidRPr="00BC73BB">
        <w:rPr>
          <w:rFonts w:ascii="Times New Roman" w:hAnsi="Times New Roman"/>
          <w:sz w:val="28"/>
          <w:szCs w:val="28"/>
          <w:lang w:val="en-US"/>
        </w:rPr>
        <w:t>et al. Meth</w:t>
      </w:r>
      <w:r w:rsidRPr="00BC73BB">
        <w:rPr>
          <w:rFonts w:ascii="Times New Roman" w:hAnsi="Times New Roman"/>
          <w:sz w:val="28"/>
          <w:szCs w:val="28"/>
          <w:lang w:val="uk-UA"/>
        </w:rPr>
        <w:t>.</w:t>
      </w:r>
      <w:r w:rsidRPr="00BC73BB">
        <w:rPr>
          <w:rFonts w:ascii="Times New Roman" w:hAnsi="Times New Roman"/>
          <w:sz w:val="28"/>
          <w:szCs w:val="28"/>
          <w:lang w:val="en-US"/>
        </w:rPr>
        <w:t xml:space="preserve"> Mol</w:t>
      </w:r>
      <w:r w:rsidRPr="00BC73BB">
        <w:rPr>
          <w:rFonts w:ascii="Times New Roman" w:hAnsi="Times New Roman"/>
          <w:sz w:val="28"/>
          <w:szCs w:val="28"/>
          <w:lang w:val="uk-UA"/>
        </w:rPr>
        <w:t>.</w:t>
      </w:r>
      <w:r w:rsidRPr="00BC73BB">
        <w:rPr>
          <w:rFonts w:ascii="Times New Roman" w:hAnsi="Times New Roman"/>
          <w:sz w:val="28"/>
          <w:szCs w:val="28"/>
          <w:lang w:val="en-US"/>
        </w:rPr>
        <w:t xml:space="preserve"> Biol. 2016</w:t>
      </w:r>
      <w:r w:rsidRPr="00BC73BB">
        <w:rPr>
          <w:rFonts w:ascii="Times New Roman" w:hAnsi="Times New Roman"/>
          <w:sz w:val="28"/>
          <w:szCs w:val="28"/>
          <w:lang w:val="uk-UA"/>
        </w:rPr>
        <w:t xml:space="preserve">. </w:t>
      </w:r>
      <w:r w:rsidRPr="00BC73BB">
        <w:rPr>
          <w:rFonts w:ascii="Times New Roman" w:hAnsi="Times New Roman"/>
          <w:sz w:val="28"/>
          <w:szCs w:val="28"/>
          <w:lang w:val="en-US"/>
        </w:rPr>
        <w:t>Vol. 1462</w:t>
      </w:r>
      <w:r w:rsidRPr="00BC73BB">
        <w:rPr>
          <w:rFonts w:ascii="Times New Roman" w:hAnsi="Times New Roman"/>
          <w:sz w:val="28"/>
          <w:szCs w:val="28"/>
          <w:lang w:val="uk-UA"/>
        </w:rPr>
        <w:t xml:space="preserve">. Р. </w:t>
      </w:r>
      <w:r w:rsidRPr="00BC73BB">
        <w:rPr>
          <w:rFonts w:ascii="Times New Roman" w:hAnsi="Times New Roman"/>
          <w:sz w:val="28"/>
          <w:szCs w:val="28"/>
          <w:lang w:val="en-US"/>
        </w:rPr>
        <w:t>373</w:t>
      </w:r>
      <w:r w:rsidRPr="00BC73BB">
        <w:rPr>
          <w:rFonts w:ascii="Times New Roman" w:hAnsi="Times New Roman"/>
          <w:sz w:val="28"/>
          <w:szCs w:val="28"/>
          <w:lang w:val="uk-UA"/>
        </w:rPr>
        <w:t>–3</w:t>
      </w:r>
      <w:r w:rsidRPr="00BC73BB">
        <w:rPr>
          <w:rFonts w:ascii="Times New Roman" w:hAnsi="Times New Roman"/>
          <w:sz w:val="28"/>
          <w:szCs w:val="28"/>
          <w:lang w:val="en-US"/>
        </w:rPr>
        <w:t>90.</w:t>
      </w:r>
    </w:p>
    <w:p w:rsidR="001F0A71" w:rsidRPr="00BC73BB" w:rsidRDefault="001F0A71" w:rsidP="00E1086D">
      <w:pPr>
        <w:pStyle w:val="a5"/>
        <w:shd w:val="clear" w:color="auto" w:fill="FFFFFF"/>
        <w:tabs>
          <w:tab w:val="left" w:pos="851"/>
          <w:tab w:val="left" w:pos="993"/>
        </w:tabs>
        <w:spacing w:after="0" w:line="360" w:lineRule="auto"/>
        <w:ind w:left="0" w:firstLine="284"/>
        <w:jc w:val="both"/>
        <w:textAlignment w:val="top"/>
        <w:rPr>
          <w:rFonts w:ascii="Times New Roman" w:hAnsi="Times New Roman"/>
          <w:sz w:val="28"/>
          <w:szCs w:val="28"/>
          <w:lang w:val="en-US"/>
        </w:rPr>
      </w:pPr>
      <w:r w:rsidRPr="00BC73BB">
        <w:rPr>
          <w:rFonts w:ascii="Times New Roman" w:hAnsi="Times New Roman"/>
          <w:sz w:val="28"/>
          <w:szCs w:val="28"/>
          <w:lang w:val="uk-UA"/>
        </w:rPr>
        <w:t>156</w:t>
      </w:r>
      <w:r w:rsidRPr="00BC73BB">
        <w:rPr>
          <w:rFonts w:ascii="Times New Roman" w:hAnsi="Times New Roman"/>
          <w:sz w:val="28"/>
          <w:szCs w:val="28"/>
          <w:lang w:val="en-US"/>
        </w:rPr>
        <w:t>.</w:t>
      </w:r>
      <w:r w:rsidRPr="00BC73BB">
        <w:rPr>
          <w:rFonts w:ascii="Times New Roman" w:hAnsi="Times New Roman"/>
          <w:bCs/>
          <w:sz w:val="28"/>
          <w:szCs w:val="28"/>
          <w:lang w:val="en-US"/>
        </w:rPr>
        <w:t>Comparison of Different Preclinical Models of Intracerebral Hemorrhage /</w:t>
      </w:r>
      <w:r w:rsidRPr="00BC73BB">
        <w:rPr>
          <w:rFonts w:ascii="Times New Roman" w:hAnsi="Times New Roman"/>
          <w:sz w:val="28"/>
          <w:szCs w:val="28"/>
          <w:lang w:val="en-US"/>
        </w:rPr>
        <w:t xml:space="preserve"> A.</w:t>
      </w:r>
      <w:hyperlink r:id="rId80" w:history="1">
        <w:r w:rsidRPr="00BC73BB">
          <w:rPr>
            <w:rStyle w:val="ac"/>
            <w:rFonts w:ascii="Times New Roman" w:eastAsiaTheme="majorEastAsia" w:hAnsi="Times New Roman"/>
            <w:color w:val="auto"/>
            <w:sz w:val="28"/>
            <w:szCs w:val="28"/>
            <w:u w:val="none"/>
            <w:lang w:val="en-US"/>
          </w:rPr>
          <w:t>Manaenko</w:t>
        </w:r>
      </w:hyperlink>
      <w:r w:rsidRPr="00BC73BB">
        <w:rPr>
          <w:rFonts w:ascii="Times New Roman" w:hAnsi="Times New Roman"/>
          <w:sz w:val="28"/>
          <w:szCs w:val="28"/>
          <w:lang w:val="en-US"/>
        </w:rPr>
        <w:t xml:space="preserve"> et al. </w:t>
      </w:r>
      <w:r w:rsidRPr="00BC73BB">
        <w:rPr>
          <w:rStyle w:val="cit"/>
          <w:rFonts w:ascii="Times New Roman" w:eastAsiaTheme="majorEastAsia" w:hAnsi="Times New Roman"/>
          <w:sz w:val="28"/>
          <w:szCs w:val="28"/>
          <w:lang w:val="en-US"/>
        </w:rPr>
        <w:t>Acta Neurochir</w:t>
      </w:r>
      <w:r w:rsidRPr="00BC73BB">
        <w:rPr>
          <w:rStyle w:val="cit"/>
          <w:rFonts w:ascii="Times New Roman" w:eastAsiaTheme="majorEastAsia" w:hAnsi="Times New Roman"/>
          <w:sz w:val="28"/>
          <w:szCs w:val="28"/>
          <w:lang w:val="uk-UA"/>
        </w:rPr>
        <w:t>.</w:t>
      </w:r>
      <w:r w:rsidRPr="00BC73BB">
        <w:rPr>
          <w:rStyle w:val="cit"/>
          <w:rFonts w:ascii="Times New Roman" w:eastAsiaTheme="majorEastAsia" w:hAnsi="Times New Roman"/>
          <w:sz w:val="28"/>
          <w:szCs w:val="28"/>
          <w:lang w:val="en-US"/>
        </w:rPr>
        <w:t xml:space="preserve"> Suppl. 2011</w:t>
      </w:r>
      <w:r w:rsidRPr="00BC73BB">
        <w:rPr>
          <w:rStyle w:val="cit"/>
          <w:rFonts w:ascii="Times New Roman" w:eastAsiaTheme="majorEastAsia" w:hAnsi="Times New Roman"/>
          <w:sz w:val="28"/>
          <w:szCs w:val="28"/>
          <w:lang w:val="uk-UA"/>
        </w:rPr>
        <w:t>.</w:t>
      </w:r>
      <w:r w:rsidRPr="00BC73BB">
        <w:rPr>
          <w:rFonts w:ascii="Times New Roman" w:hAnsi="Times New Roman"/>
          <w:sz w:val="28"/>
          <w:szCs w:val="28"/>
          <w:lang w:val="en-US"/>
        </w:rPr>
        <w:t xml:space="preserve">Vol. </w:t>
      </w:r>
      <w:r w:rsidRPr="00BC73BB">
        <w:rPr>
          <w:rStyle w:val="cit"/>
          <w:rFonts w:ascii="Times New Roman" w:eastAsiaTheme="majorEastAsia" w:hAnsi="Times New Roman"/>
          <w:sz w:val="28"/>
          <w:szCs w:val="28"/>
          <w:lang w:val="en-US"/>
        </w:rPr>
        <w:t>111</w:t>
      </w:r>
      <w:r w:rsidRPr="00BC73BB">
        <w:rPr>
          <w:rStyle w:val="cit"/>
          <w:rFonts w:ascii="Times New Roman" w:eastAsiaTheme="majorEastAsia" w:hAnsi="Times New Roman"/>
          <w:sz w:val="28"/>
          <w:szCs w:val="28"/>
          <w:lang w:val="uk-UA"/>
        </w:rPr>
        <w:t xml:space="preserve">. Р. </w:t>
      </w:r>
      <w:r w:rsidRPr="00BC73BB">
        <w:rPr>
          <w:rStyle w:val="cit"/>
          <w:rFonts w:ascii="Times New Roman" w:eastAsiaTheme="majorEastAsia" w:hAnsi="Times New Roman"/>
          <w:sz w:val="28"/>
          <w:szCs w:val="28"/>
          <w:lang w:val="en-US"/>
        </w:rPr>
        <w:t>9–14.</w:t>
      </w:r>
    </w:p>
    <w:p w:rsidR="001F0A71" w:rsidRPr="00BC73BB" w:rsidRDefault="001F0A71" w:rsidP="00E1086D">
      <w:pPr>
        <w:pStyle w:val="a5"/>
        <w:widowControl w:val="0"/>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157</w:t>
      </w:r>
      <w:r w:rsidRPr="00BC73BB">
        <w:rPr>
          <w:rFonts w:ascii="Times New Roman" w:hAnsi="Times New Roman"/>
          <w:sz w:val="28"/>
          <w:szCs w:val="28"/>
          <w:lang w:val="en-US"/>
        </w:rPr>
        <w:t>.Rapidblood</w:t>
      </w:r>
      <w:r w:rsidRPr="00BC73BB">
        <w:rPr>
          <w:rFonts w:ascii="Times New Roman" w:hAnsi="Times New Roman"/>
          <w:sz w:val="28"/>
          <w:szCs w:val="28"/>
          <w:lang w:val="uk-UA"/>
        </w:rPr>
        <w:t>-</w:t>
      </w:r>
      <w:r w:rsidRPr="00BC73BB">
        <w:rPr>
          <w:rFonts w:ascii="Times New Roman" w:hAnsi="Times New Roman"/>
          <w:sz w:val="28"/>
          <w:szCs w:val="28"/>
          <w:lang w:val="en-US"/>
        </w:rPr>
        <w:t>pressureloweringinpatientswithacuteintracerebralhemorrhage</w:t>
      </w:r>
      <w:r w:rsidRPr="00BC73BB">
        <w:rPr>
          <w:rFonts w:ascii="Times New Roman" w:hAnsi="Times New Roman"/>
          <w:sz w:val="28"/>
          <w:szCs w:val="28"/>
          <w:lang w:val="uk-UA"/>
        </w:rPr>
        <w:t xml:space="preserve"> / </w:t>
      </w:r>
      <w:r w:rsidRPr="00BC73BB">
        <w:rPr>
          <w:rFonts w:ascii="Times New Roman" w:hAnsi="Times New Roman"/>
          <w:sz w:val="28"/>
          <w:szCs w:val="28"/>
          <w:lang w:val="en-US"/>
        </w:rPr>
        <w:t>C</w:t>
      </w:r>
      <w:r w:rsidRPr="00BC73BB">
        <w:rPr>
          <w:rFonts w:ascii="Times New Roman" w:hAnsi="Times New Roman"/>
          <w:sz w:val="28"/>
          <w:szCs w:val="28"/>
          <w:lang w:val="uk-UA"/>
        </w:rPr>
        <w:t xml:space="preserve">. </w:t>
      </w:r>
      <w:r w:rsidRPr="00BC73BB">
        <w:rPr>
          <w:rFonts w:ascii="Times New Roman" w:hAnsi="Times New Roman"/>
          <w:sz w:val="28"/>
          <w:szCs w:val="28"/>
          <w:lang w:val="en-US"/>
        </w:rPr>
        <w:t>S</w:t>
      </w:r>
      <w:r w:rsidRPr="00BC73BB">
        <w:rPr>
          <w:rFonts w:ascii="Times New Roman" w:hAnsi="Times New Roman"/>
          <w:sz w:val="28"/>
          <w:szCs w:val="28"/>
          <w:lang w:val="uk-UA"/>
        </w:rPr>
        <w:t xml:space="preserve">. </w:t>
      </w:r>
      <w:r w:rsidRPr="00BC73BB">
        <w:rPr>
          <w:rFonts w:ascii="Times New Roman" w:hAnsi="Times New Roman"/>
          <w:sz w:val="28"/>
          <w:szCs w:val="28"/>
          <w:lang w:val="en-US"/>
        </w:rPr>
        <w:lastRenderedPageBreak/>
        <w:t>Andersonetal</w:t>
      </w:r>
      <w:r w:rsidRPr="00BC73BB">
        <w:rPr>
          <w:rFonts w:ascii="Times New Roman" w:hAnsi="Times New Roman"/>
          <w:sz w:val="28"/>
          <w:szCs w:val="28"/>
          <w:lang w:val="uk-UA"/>
        </w:rPr>
        <w:t xml:space="preserve">. </w:t>
      </w:r>
      <w:r w:rsidRPr="00BC73BB">
        <w:rPr>
          <w:rFonts w:ascii="Times New Roman" w:hAnsi="Times New Roman"/>
          <w:sz w:val="28"/>
          <w:szCs w:val="28"/>
          <w:lang w:val="en-US"/>
        </w:rPr>
        <w:t>New Eng</w:t>
      </w:r>
      <w:r w:rsidRPr="00BC73BB">
        <w:rPr>
          <w:rFonts w:ascii="Times New Roman" w:hAnsi="Times New Roman"/>
          <w:sz w:val="28"/>
          <w:szCs w:val="28"/>
          <w:lang w:val="uk-UA"/>
        </w:rPr>
        <w:t>.</w:t>
      </w:r>
      <w:r w:rsidRPr="00BC73BB">
        <w:rPr>
          <w:rFonts w:ascii="Times New Roman" w:hAnsi="Times New Roman"/>
          <w:sz w:val="28"/>
          <w:szCs w:val="28"/>
          <w:lang w:val="en-US"/>
        </w:rPr>
        <w:t xml:space="preserve"> J</w:t>
      </w:r>
      <w:r w:rsidRPr="00BC73BB">
        <w:rPr>
          <w:rFonts w:ascii="Times New Roman" w:hAnsi="Times New Roman"/>
          <w:sz w:val="28"/>
          <w:szCs w:val="28"/>
          <w:lang w:val="uk-UA"/>
        </w:rPr>
        <w:t>.</w:t>
      </w:r>
      <w:r w:rsidRPr="00BC73BB">
        <w:rPr>
          <w:rFonts w:ascii="Times New Roman" w:hAnsi="Times New Roman"/>
          <w:sz w:val="28"/>
          <w:szCs w:val="28"/>
          <w:lang w:val="en-US"/>
        </w:rPr>
        <w:t xml:space="preserve"> of Med. 2013. Vol. 368</w:t>
      </w:r>
      <w:r w:rsidRPr="00BC73BB">
        <w:rPr>
          <w:rFonts w:ascii="Times New Roman" w:hAnsi="Times New Roman"/>
          <w:sz w:val="28"/>
          <w:szCs w:val="28"/>
          <w:lang w:val="uk-UA"/>
        </w:rPr>
        <w:t xml:space="preserve"> (</w:t>
      </w:r>
      <w:r w:rsidRPr="00BC73BB">
        <w:rPr>
          <w:rFonts w:ascii="Times New Roman" w:hAnsi="Times New Roman"/>
          <w:sz w:val="28"/>
          <w:szCs w:val="28"/>
          <w:lang w:val="en-US"/>
        </w:rPr>
        <w:t>25</w:t>
      </w:r>
      <w:r w:rsidRPr="00BC73BB">
        <w:rPr>
          <w:rFonts w:ascii="Times New Roman" w:hAnsi="Times New Roman"/>
          <w:sz w:val="28"/>
          <w:szCs w:val="28"/>
          <w:lang w:val="uk-UA"/>
        </w:rPr>
        <w:t>)</w:t>
      </w:r>
      <w:r w:rsidRPr="00BC73BB">
        <w:rPr>
          <w:rFonts w:ascii="Times New Roman" w:hAnsi="Times New Roman"/>
          <w:sz w:val="28"/>
          <w:szCs w:val="28"/>
          <w:lang w:val="en-US"/>
        </w:rPr>
        <w:t>. P. 2355</w:t>
      </w:r>
      <w:r w:rsidRPr="00BC73BB">
        <w:rPr>
          <w:rStyle w:val="cit"/>
          <w:rFonts w:ascii="Times New Roman" w:eastAsiaTheme="majorEastAsia" w:hAnsi="Times New Roman"/>
          <w:sz w:val="28"/>
          <w:szCs w:val="28"/>
          <w:lang w:val="en-US"/>
        </w:rPr>
        <w:t>–</w:t>
      </w:r>
      <w:r w:rsidRPr="00BC73BB">
        <w:rPr>
          <w:rFonts w:ascii="Times New Roman" w:hAnsi="Times New Roman"/>
          <w:sz w:val="28"/>
          <w:szCs w:val="28"/>
          <w:lang w:val="en-US"/>
        </w:rPr>
        <w:t>2365.</w:t>
      </w:r>
    </w:p>
    <w:p w:rsidR="001F0A71" w:rsidRPr="00BC73BB" w:rsidRDefault="001F0A71" w:rsidP="00E1086D">
      <w:pPr>
        <w:pStyle w:val="a5"/>
        <w:widowControl w:val="0"/>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158</w:t>
      </w:r>
      <w:r w:rsidRPr="00BC73BB">
        <w:rPr>
          <w:rFonts w:ascii="Times New Roman" w:hAnsi="Times New Roman"/>
          <w:sz w:val="28"/>
          <w:szCs w:val="28"/>
          <w:lang w:val="en-US"/>
        </w:rPr>
        <w:t>.Intensive blood-pressure lowering in patients with acute cerebral hemorrhage / A. I. Qureshi et al</w:t>
      </w:r>
      <w:r w:rsidRPr="00BC73BB">
        <w:rPr>
          <w:rFonts w:ascii="Times New Roman" w:hAnsi="Times New Roman"/>
          <w:sz w:val="28"/>
          <w:szCs w:val="28"/>
          <w:lang w:val="uk-UA"/>
        </w:rPr>
        <w:t>.</w:t>
      </w:r>
      <w:r w:rsidRPr="00BC73BB">
        <w:rPr>
          <w:rFonts w:ascii="Times New Roman" w:hAnsi="Times New Roman"/>
          <w:sz w:val="28"/>
          <w:szCs w:val="28"/>
          <w:lang w:val="en-US"/>
        </w:rPr>
        <w:t xml:space="preserve"> New Eng</w:t>
      </w:r>
      <w:r w:rsidRPr="00BC73BB">
        <w:rPr>
          <w:rFonts w:ascii="Times New Roman" w:hAnsi="Times New Roman"/>
          <w:sz w:val="28"/>
          <w:szCs w:val="28"/>
          <w:lang w:val="uk-UA"/>
        </w:rPr>
        <w:t>.</w:t>
      </w:r>
      <w:r w:rsidRPr="00BC73BB">
        <w:rPr>
          <w:rFonts w:ascii="Times New Roman" w:hAnsi="Times New Roman"/>
          <w:sz w:val="28"/>
          <w:szCs w:val="28"/>
          <w:lang w:val="en-US"/>
        </w:rPr>
        <w:t xml:space="preserve"> J</w:t>
      </w:r>
      <w:r w:rsidRPr="00BC73BB">
        <w:rPr>
          <w:rFonts w:ascii="Times New Roman" w:hAnsi="Times New Roman"/>
          <w:sz w:val="28"/>
          <w:szCs w:val="28"/>
          <w:lang w:val="uk-UA"/>
        </w:rPr>
        <w:t>.</w:t>
      </w:r>
      <w:r w:rsidRPr="00BC73BB">
        <w:rPr>
          <w:rFonts w:ascii="Times New Roman" w:hAnsi="Times New Roman"/>
          <w:sz w:val="28"/>
          <w:szCs w:val="28"/>
          <w:lang w:val="en-US"/>
        </w:rPr>
        <w:t xml:space="preserve"> of Med. 2016. Vol. 375. P. 1033</w:t>
      </w:r>
      <w:r w:rsidRPr="00BC73BB">
        <w:rPr>
          <w:rStyle w:val="cit"/>
          <w:rFonts w:ascii="Times New Roman" w:eastAsiaTheme="majorEastAsia" w:hAnsi="Times New Roman"/>
          <w:sz w:val="28"/>
          <w:szCs w:val="28"/>
          <w:lang w:val="en-US"/>
        </w:rPr>
        <w:t>–</w:t>
      </w:r>
      <w:r w:rsidRPr="00BC73BB">
        <w:rPr>
          <w:rFonts w:ascii="Times New Roman" w:hAnsi="Times New Roman"/>
          <w:sz w:val="28"/>
          <w:szCs w:val="28"/>
          <w:lang w:val="en-US"/>
        </w:rPr>
        <w:t>1043.</w:t>
      </w:r>
    </w:p>
    <w:p w:rsidR="001F0A71" w:rsidRPr="00BC73BB" w:rsidRDefault="001F0A71" w:rsidP="00E1086D">
      <w:pPr>
        <w:pStyle w:val="a5"/>
        <w:widowControl w:val="0"/>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159</w:t>
      </w:r>
      <w:r w:rsidRPr="00BC73BB">
        <w:rPr>
          <w:rFonts w:ascii="Times New Roman" w:hAnsi="Times New Roman"/>
          <w:sz w:val="28"/>
          <w:szCs w:val="28"/>
          <w:lang w:val="en-US"/>
        </w:rPr>
        <w:t>.Intensive blood pressure reduction and spot sign in intracerebral hemorrhage: a secondary analysis of a randomized clinical trial / A.Morotti et al.JAMA Neurol. 2017. Vol. 74</w:t>
      </w:r>
      <w:r w:rsidRPr="00BC73BB">
        <w:rPr>
          <w:rFonts w:ascii="Times New Roman" w:hAnsi="Times New Roman"/>
          <w:sz w:val="28"/>
          <w:szCs w:val="28"/>
          <w:lang w:val="uk-UA"/>
        </w:rPr>
        <w:t xml:space="preserve"> (</w:t>
      </w:r>
      <w:r w:rsidRPr="00BC73BB">
        <w:rPr>
          <w:rFonts w:ascii="Times New Roman" w:hAnsi="Times New Roman"/>
          <w:sz w:val="28"/>
          <w:szCs w:val="28"/>
          <w:lang w:val="en-US"/>
        </w:rPr>
        <w:t>8</w:t>
      </w:r>
      <w:r w:rsidRPr="00BC73BB">
        <w:rPr>
          <w:rFonts w:ascii="Times New Roman" w:hAnsi="Times New Roman"/>
          <w:sz w:val="28"/>
          <w:szCs w:val="28"/>
          <w:lang w:val="uk-UA"/>
        </w:rPr>
        <w:t>)</w:t>
      </w:r>
      <w:r w:rsidRPr="00BC73BB">
        <w:rPr>
          <w:rFonts w:ascii="Times New Roman" w:hAnsi="Times New Roman"/>
          <w:sz w:val="28"/>
          <w:szCs w:val="28"/>
          <w:lang w:val="en-US"/>
        </w:rPr>
        <w:t>. P.950</w:t>
      </w:r>
      <w:r w:rsidRPr="00BC73BB">
        <w:rPr>
          <w:rStyle w:val="cit"/>
          <w:rFonts w:ascii="Times New Roman" w:eastAsiaTheme="majorEastAsia" w:hAnsi="Times New Roman"/>
          <w:sz w:val="28"/>
          <w:szCs w:val="28"/>
          <w:lang w:val="en-US"/>
        </w:rPr>
        <w:t>–</w:t>
      </w:r>
      <w:r w:rsidRPr="00BC73BB">
        <w:rPr>
          <w:rFonts w:ascii="Times New Roman" w:hAnsi="Times New Roman"/>
          <w:sz w:val="28"/>
          <w:szCs w:val="28"/>
          <w:lang w:val="en-US"/>
        </w:rPr>
        <w:t>960.</w:t>
      </w:r>
    </w:p>
    <w:p w:rsidR="001F0A71" w:rsidRPr="00BC73BB" w:rsidRDefault="001F0A71" w:rsidP="00E1086D">
      <w:pPr>
        <w:pStyle w:val="a5"/>
        <w:widowControl w:val="0"/>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160</w:t>
      </w:r>
      <w:r w:rsidRPr="00BC73BB">
        <w:rPr>
          <w:rFonts w:ascii="Times New Roman" w:hAnsi="Times New Roman"/>
          <w:sz w:val="28"/>
          <w:szCs w:val="28"/>
          <w:lang w:val="en-US"/>
        </w:rPr>
        <w:t>.Serum neuron-specific enolase levels in preterm and term newborns and in infants 1–3 months of age / A. Abbasoglu et al. Pediatr</w:t>
      </w:r>
      <w:r w:rsidRPr="00BC73BB">
        <w:rPr>
          <w:rFonts w:ascii="Times New Roman" w:hAnsi="Times New Roman"/>
          <w:sz w:val="28"/>
          <w:szCs w:val="28"/>
          <w:lang w:val="uk-UA"/>
        </w:rPr>
        <w:t>.</w:t>
      </w:r>
      <w:r w:rsidRPr="00BC73BB">
        <w:rPr>
          <w:rFonts w:ascii="Times New Roman" w:hAnsi="Times New Roman"/>
          <w:sz w:val="28"/>
          <w:szCs w:val="28"/>
          <w:lang w:val="en-US"/>
        </w:rPr>
        <w:t>Neonatol. 2015. Vol. 56</w:t>
      </w:r>
      <w:r w:rsidRPr="00BC73BB">
        <w:rPr>
          <w:rFonts w:ascii="Times New Roman" w:hAnsi="Times New Roman"/>
          <w:sz w:val="28"/>
          <w:szCs w:val="28"/>
          <w:lang w:val="uk-UA"/>
        </w:rPr>
        <w:t xml:space="preserve"> (</w:t>
      </w:r>
      <w:r w:rsidRPr="00BC73BB">
        <w:rPr>
          <w:rFonts w:ascii="Times New Roman" w:hAnsi="Times New Roman"/>
          <w:sz w:val="28"/>
          <w:szCs w:val="28"/>
          <w:lang w:val="en-US"/>
        </w:rPr>
        <w:t>2</w:t>
      </w:r>
      <w:r w:rsidRPr="00BC73BB">
        <w:rPr>
          <w:rFonts w:ascii="Times New Roman" w:hAnsi="Times New Roman"/>
          <w:sz w:val="28"/>
          <w:szCs w:val="28"/>
          <w:lang w:val="uk-UA"/>
        </w:rPr>
        <w:t>)</w:t>
      </w:r>
      <w:r w:rsidRPr="00BC73BB">
        <w:rPr>
          <w:rFonts w:ascii="Times New Roman" w:hAnsi="Times New Roman"/>
          <w:sz w:val="28"/>
          <w:szCs w:val="28"/>
          <w:lang w:val="en-US"/>
        </w:rPr>
        <w:t>. P. 114</w:t>
      </w:r>
      <w:r w:rsidRPr="00BC73BB">
        <w:rPr>
          <w:rStyle w:val="cit"/>
          <w:rFonts w:ascii="Times New Roman" w:eastAsiaTheme="majorEastAsia" w:hAnsi="Times New Roman"/>
          <w:sz w:val="28"/>
          <w:szCs w:val="28"/>
          <w:lang w:val="en-US"/>
        </w:rPr>
        <w:t>–</w:t>
      </w:r>
      <w:r w:rsidRPr="00BC73BB">
        <w:rPr>
          <w:rFonts w:ascii="Times New Roman" w:hAnsi="Times New Roman"/>
          <w:sz w:val="28"/>
          <w:szCs w:val="28"/>
          <w:lang w:val="en-US"/>
        </w:rPr>
        <w:t>119.</w:t>
      </w:r>
    </w:p>
    <w:p w:rsidR="001F0A71" w:rsidRPr="00BC73BB" w:rsidRDefault="001F0A71" w:rsidP="00E1086D">
      <w:pPr>
        <w:pStyle w:val="a5"/>
        <w:widowControl w:val="0"/>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161</w:t>
      </w:r>
      <w:r w:rsidRPr="00BC73BB">
        <w:rPr>
          <w:rFonts w:ascii="Times New Roman" w:hAnsi="Times New Roman"/>
          <w:sz w:val="28"/>
          <w:szCs w:val="28"/>
          <w:lang w:val="en-US"/>
        </w:rPr>
        <w:t>.Proinflammatory cytokines, enolase and S-100 as early biochemical indicators of hypoxic-ischemic encephalopathy following perinatal asphyxia in newborns / V. Chaparro-Huerta et al. Pediatr</w:t>
      </w:r>
      <w:r w:rsidRPr="00BC73BB">
        <w:rPr>
          <w:rFonts w:ascii="Times New Roman" w:hAnsi="Times New Roman"/>
          <w:sz w:val="28"/>
          <w:szCs w:val="28"/>
          <w:lang w:val="uk-UA"/>
        </w:rPr>
        <w:t>.</w:t>
      </w:r>
      <w:r w:rsidRPr="00BC73BB">
        <w:rPr>
          <w:rFonts w:ascii="Times New Roman" w:hAnsi="Times New Roman"/>
          <w:sz w:val="28"/>
          <w:szCs w:val="28"/>
          <w:lang w:val="en-US"/>
        </w:rPr>
        <w:t>Neonatol. 2017. Vol. 58</w:t>
      </w:r>
      <w:r w:rsidRPr="00BC73BB">
        <w:rPr>
          <w:rFonts w:ascii="Times New Roman" w:hAnsi="Times New Roman"/>
          <w:sz w:val="28"/>
          <w:szCs w:val="28"/>
          <w:lang w:val="uk-UA"/>
        </w:rPr>
        <w:t xml:space="preserve"> (</w:t>
      </w:r>
      <w:r w:rsidRPr="00BC73BB">
        <w:rPr>
          <w:rFonts w:ascii="Times New Roman" w:hAnsi="Times New Roman"/>
          <w:sz w:val="28"/>
          <w:szCs w:val="28"/>
          <w:lang w:val="en-US"/>
        </w:rPr>
        <w:t>1</w:t>
      </w:r>
      <w:r w:rsidRPr="00BC73BB">
        <w:rPr>
          <w:rFonts w:ascii="Times New Roman" w:hAnsi="Times New Roman"/>
          <w:sz w:val="28"/>
          <w:szCs w:val="28"/>
          <w:lang w:val="uk-UA"/>
        </w:rPr>
        <w:t>)</w:t>
      </w:r>
      <w:r w:rsidRPr="00BC73BB">
        <w:rPr>
          <w:rFonts w:ascii="Times New Roman" w:hAnsi="Times New Roman"/>
          <w:sz w:val="28"/>
          <w:szCs w:val="28"/>
          <w:lang w:val="en-US"/>
        </w:rPr>
        <w:t>. P. 70</w:t>
      </w:r>
      <w:r w:rsidRPr="00BC73BB">
        <w:rPr>
          <w:rFonts w:ascii="Times New Roman" w:hAnsi="Times New Roman"/>
          <w:sz w:val="28"/>
          <w:szCs w:val="28"/>
          <w:lang w:val="uk-UA"/>
        </w:rPr>
        <w:t>–</w:t>
      </w:r>
      <w:r w:rsidRPr="00BC73BB">
        <w:rPr>
          <w:rFonts w:ascii="Times New Roman" w:hAnsi="Times New Roman"/>
          <w:sz w:val="28"/>
          <w:szCs w:val="28"/>
          <w:lang w:val="en-US"/>
        </w:rPr>
        <w:t>76.</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162</w:t>
      </w:r>
      <w:r w:rsidRPr="00BC73BB">
        <w:rPr>
          <w:rFonts w:ascii="Times New Roman" w:hAnsi="Times New Roman"/>
          <w:sz w:val="28"/>
          <w:szCs w:val="28"/>
          <w:lang w:val="en-US"/>
        </w:rPr>
        <w:t>.MattsonM</w:t>
      </w:r>
      <w:r w:rsidRPr="00BC73BB">
        <w:rPr>
          <w:rFonts w:ascii="Times New Roman" w:hAnsi="Times New Roman"/>
          <w:sz w:val="28"/>
          <w:szCs w:val="28"/>
          <w:lang w:val="uk-UA"/>
        </w:rPr>
        <w:t xml:space="preserve">. </w:t>
      </w:r>
      <w:r w:rsidRPr="00BC73BB">
        <w:rPr>
          <w:rFonts w:ascii="Times New Roman" w:hAnsi="Times New Roman"/>
          <w:sz w:val="28"/>
          <w:szCs w:val="28"/>
          <w:lang w:val="en-US"/>
        </w:rPr>
        <w:t>R</w:t>
      </w:r>
      <w:r w:rsidRPr="00BC73BB">
        <w:rPr>
          <w:rFonts w:ascii="Times New Roman" w:hAnsi="Times New Roman"/>
          <w:sz w:val="28"/>
          <w:szCs w:val="28"/>
          <w:lang w:val="uk-UA"/>
        </w:rPr>
        <w:t xml:space="preserve">. </w:t>
      </w:r>
      <w:r w:rsidRPr="00BC73BB">
        <w:rPr>
          <w:rFonts w:ascii="Times New Roman" w:hAnsi="Times New Roman"/>
          <w:sz w:val="28"/>
          <w:szCs w:val="28"/>
          <w:lang w:val="en-US"/>
        </w:rPr>
        <w:t>Calciumandneurodegeneration</w:t>
      </w:r>
      <w:r w:rsidRPr="00BC73BB">
        <w:rPr>
          <w:rFonts w:ascii="Times New Roman" w:hAnsi="Times New Roman"/>
          <w:sz w:val="28"/>
          <w:szCs w:val="28"/>
          <w:lang w:val="uk-UA"/>
        </w:rPr>
        <w:t xml:space="preserve">. </w:t>
      </w:r>
      <w:r w:rsidRPr="00BC73BB">
        <w:rPr>
          <w:rFonts w:ascii="Times New Roman" w:hAnsi="Times New Roman"/>
          <w:sz w:val="28"/>
          <w:szCs w:val="28"/>
          <w:lang w:val="en-US"/>
        </w:rPr>
        <w:t>Aging</w:t>
      </w:r>
      <w:r w:rsidRPr="00BC73BB">
        <w:rPr>
          <w:rFonts w:ascii="Times New Roman" w:hAnsi="Times New Roman"/>
          <w:sz w:val="28"/>
          <w:szCs w:val="28"/>
          <w:lang w:val="uk-UA"/>
        </w:rPr>
        <w:t xml:space="preserve">. </w:t>
      </w:r>
      <w:r w:rsidRPr="00BC73BB">
        <w:rPr>
          <w:rFonts w:ascii="Times New Roman" w:hAnsi="Times New Roman"/>
          <w:sz w:val="28"/>
          <w:szCs w:val="28"/>
          <w:lang w:val="en-US"/>
        </w:rPr>
        <w:t>Cell</w:t>
      </w:r>
      <w:r w:rsidRPr="00BC73BB">
        <w:rPr>
          <w:rFonts w:ascii="Times New Roman" w:hAnsi="Times New Roman"/>
          <w:sz w:val="28"/>
          <w:szCs w:val="28"/>
          <w:lang w:val="uk-UA"/>
        </w:rPr>
        <w:t xml:space="preserve">. 2007. </w:t>
      </w:r>
      <w:r w:rsidRPr="00BC73BB">
        <w:rPr>
          <w:rFonts w:ascii="Times New Roman" w:hAnsi="Times New Roman"/>
          <w:sz w:val="28"/>
          <w:szCs w:val="28"/>
          <w:lang w:val="en-US"/>
        </w:rPr>
        <w:t>Vol</w:t>
      </w:r>
      <w:r w:rsidRPr="00BC73BB">
        <w:rPr>
          <w:rFonts w:ascii="Times New Roman" w:hAnsi="Times New Roman"/>
          <w:sz w:val="28"/>
          <w:szCs w:val="28"/>
          <w:lang w:val="uk-UA"/>
        </w:rPr>
        <w:t xml:space="preserve">. 6 (3). </w:t>
      </w:r>
      <w:r w:rsidRPr="00BC73BB">
        <w:rPr>
          <w:rFonts w:ascii="Times New Roman" w:hAnsi="Times New Roman"/>
          <w:sz w:val="28"/>
          <w:szCs w:val="28"/>
          <w:lang w:val="en-US"/>
        </w:rPr>
        <w:t>P</w:t>
      </w:r>
      <w:r w:rsidRPr="00BC73BB">
        <w:rPr>
          <w:rFonts w:ascii="Times New Roman" w:hAnsi="Times New Roman"/>
          <w:sz w:val="28"/>
          <w:szCs w:val="28"/>
          <w:lang w:val="uk-UA"/>
        </w:rPr>
        <w:t>. 337–350.</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uk-UA"/>
        </w:rPr>
        <w:t>163</w:t>
      </w:r>
      <w:r w:rsidRPr="00BC73BB">
        <w:rPr>
          <w:rFonts w:ascii="Times New Roman" w:hAnsi="Times New Roman"/>
          <w:sz w:val="28"/>
          <w:szCs w:val="28"/>
          <w:lang w:val="en-US"/>
        </w:rPr>
        <w:t>.The Role of Platelet Activation and Inflammation in Early Brain Injury following subarachnoid hemorrhage</w:t>
      </w:r>
      <w:r w:rsidRPr="00BC73BB">
        <w:rPr>
          <w:rFonts w:ascii="Times New Roman" w:hAnsi="Times New Roman"/>
          <w:sz w:val="28"/>
          <w:szCs w:val="28"/>
          <w:lang w:val="uk-UA"/>
        </w:rPr>
        <w:t xml:space="preserve"> / </w:t>
      </w:r>
      <w:r w:rsidRPr="00BC73BB">
        <w:rPr>
          <w:rFonts w:ascii="Times New Roman" w:hAnsi="Times New Roman"/>
          <w:sz w:val="28"/>
          <w:szCs w:val="28"/>
          <w:lang w:val="en-US"/>
        </w:rPr>
        <w:t>J</w:t>
      </w:r>
      <w:r w:rsidRPr="00BC73BB">
        <w:rPr>
          <w:rFonts w:ascii="Times New Roman" w:hAnsi="Times New Roman"/>
          <w:sz w:val="28"/>
          <w:szCs w:val="28"/>
          <w:lang w:val="uk-UA"/>
        </w:rPr>
        <w:t xml:space="preserve">. </w:t>
      </w:r>
      <w:r w:rsidRPr="00BC73BB">
        <w:rPr>
          <w:rFonts w:ascii="Times New Roman" w:hAnsi="Times New Roman"/>
          <w:sz w:val="28"/>
          <w:szCs w:val="28"/>
          <w:lang w:val="en-US"/>
        </w:rPr>
        <w:t xml:space="preserve">A. </w:t>
      </w:r>
      <w:hyperlink r:id="rId81" w:history="1">
        <w:r w:rsidRPr="00BC73BB">
          <w:rPr>
            <w:rFonts w:ascii="Times New Roman" w:hAnsi="Times New Roman"/>
            <w:sz w:val="28"/>
            <w:szCs w:val="28"/>
            <w:lang w:val="en-US"/>
          </w:rPr>
          <w:t>Frontera</w:t>
        </w:r>
      </w:hyperlink>
      <w:r w:rsidRPr="00BC73BB">
        <w:rPr>
          <w:rFonts w:ascii="Times New Roman" w:hAnsi="Times New Roman"/>
          <w:sz w:val="28"/>
          <w:szCs w:val="28"/>
          <w:lang w:val="en-US"/>
        </w:rPr>
        <w:t>et al. Neurocrit</w:t>
      </w:r>
      <w:r w:rsidRPr="00BC73BB">
        <w:rPr>
          <w:rFonts w:ascii="Times New Roman" w:hAnsi="Times New Roman"/>
          <w:sz w:val="28"/>
          <w:szCs w:val="28"/>
          <w:lang w:val="uk-UA"/>
        </w:rPr>
        <w:t>.</w:t>
      </w:r>
      <w:r w:rsidRPr="00BC73BB">
        <w:rPr>
          <w:rFonts w:ascii="Times New Roman" w:hAnsi="Times New Roman"/>
          <w:sz w:val="28"/>
          <w:szCs w:val="28"/>
          <w:lang w:val="en-US"/>
        </w:rPr>
        <w:t xml:space="preserve"> Care. 2017</w:t>
      </w:r>
      <w:r w:rsidRPr="00BC73BB">
        <w:rPr>
          <w:rFonts w:ascii="Times New Roman" w:hAnsi="Times New Roman"/>
          <w:sz w:val="28"/>
          <w:szCs w:val="28"/>
          <w:lang w:val="uk-UA"/>
        </w:rPr>
        <w:t xml:space="preserve">. </w:t>
      </w:r>
      <w:r w:rsidRPr="00BC73BB">
        <w:rPr>
          <w:rFonts w:ascii="Times New Roman" w:hAnsi="Times New Roman"/>
          <w:sz w:val="28"/>
          <w:szCs w:val="28"/>
          <w:lang w:val="en-US"/>
        </w:rPr>
        <w:t>Vol</w:t>
      </w:r>
      <w:r w:rsidRPr="00BC73BB">
        <w:rPr>
          <w:rFonts w:ascii="Times New Roman" w:hAnsi="Times New Roman"/>
          <w:sz w:val="28"/>
          <w:szCs w:val="28"/>
          <w:lang w:val="uk-UA"/>
        </w:rPr>
        <w:t xml:space="preserve">. </w:t>
      </w:r>
      <w:r w:rsidRPr="00BC73BB">
        <w:rPr>
          <w:rFonts w:ascii="Times New Roman" w:hAnsi="Times New Roman"/>
          <w:sz w:val="28"/>
          <w:szCs w:val="28"/>
          <w:lang w:val="en-US"/>
        </w:rPr>
        <w:t>26(1)</w:t>
      </w:r>
      <w:r w:rsidRPr="00BC73BB">
        <w:rPr>
          <w:rFonts w:ascii="Times New Roman" w:hAnsi="Times New Roman"/>
          <w:sz w:val="28"/>
          <w:szCs w:val="28"/>
          <w:lang w:val="uk-UA"/>
        </w:rPr>
        <w:t xml:space="preserve">. Р. </w:t>
      </w:r>
      <w:r w:rsidRPr="00BC73BB">
        <w:rPr>
          <w:rFonts w:ascii="Times New Roman" w:hAnsi="Times New Roman"/>
          <w:sz w:val="28"/>
          <w:szCs w:val="28"/>
          <w:lang w:val="en-US"/>
        </w:rPr>
        <w:t>48–57.</w:t>
      </w:r>
    </w:p>
    <w:p w:rsidR="001F0A71" w:rsidRPr="00BC73BB" w:rsidRDefault="001F0A71" w:rsidP="00E1086D">
      <w:pPr>
        <w:pStyle w:val="a5"/>
        <w:widowControl w:val="0"/>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164</w:t>
      </w:r>
      <w:r w:rsidRPr="00BC73BB">
        <w:rPr>
          <w:rFonts w:ascii="Times New Roman" w:hAnsi="Times New Roman"/>
          <w:sz w:val="28"/>
          <w:szCs w:val="28"/>
          <w:lang w:val="en-US"/>
        </w:rPr>
        <w:t xml:space="preserve">.Systemic inflammatory response syndrome as predictor of poor outcome in nontraumatic subarachnoid hemorrhage patients </w:t>
      </w:r>
      <w:r w:rsidRPr="00BC73BB">
        <w:rPr>
          <w:rFonts w:ascii="Times New Roman" w:hAnsi="Times New Roman"/>
          <w:sz w:val="28"/>
          <w:szCs w:val="28"/>
          <w:lang w:val="uk-UA"/>
        </w:rPr>
        <w:t xml:space="preserve">/ </w:t>
      </w:r>
      <w:r w:rsidRPr="00BC73BB">
        <w:rPr>
          <w:rFonts w:ascii="Times New Roman" w:hAnsi="Times New Roman"/>
          <w:sz w:val="28"/>
          <w:szCs w:val="28"/>
          <w:lang w:val="en-US"/>
        </w:rPr>
        <w:t>V. Rass et al. Crit</w:t>
      </w:r>
      <w:r w:rsidRPr="00BC73BB">
        <w:rPr>
          <w:rFonts w:ascii="Times New Roman" w:hAnsi="Times New Roman"/>
          <w:sz w:val="28"/>
          <w:szCs w:val="28"/>
          <w:lang w:val="uk-UA"/>
        </w:rPr>
        <w:t>.</w:t>
      </w:r>
      <w:r w:rsidRPr="00BC73BB">
        <w:rPr>
          <w:rFonts w:ascii="Times New Roman" w:hAnsi="Times New Roman"/>
          <w:sz w:val="28"/>
          <w:szCs w:val="28"/>
          <w:lang w:val="en-US"/>
        </w:rPr>
        <w:t xml:space="preserve"> Care Med. 2018</w:t>
      </w:r>
      <w:r w:rsidRPr="00BC73BB">
        <w:rPr>
          <w:rFonts w:ascii="Times New Roman" w:hAnsi="Times New Roman"/>
          <w:sz w:val="28"/>
          <w:szCs w:val="28"/>
          <w:lang w:val="uk-UA"/>
        </w:rPr>
        <w:t xml:space="preserve">. </w:t>
      </w:r>
      <w:r w:rsidRPr="00BC73BB">
        <w:rPr>
          <w:rFonts w:ascii="Times New Roman" w:hAnsi="Times New Roman"/>
          <w:sz w:val="28"/>
          <w:szCs w:val="28"/>
          <w:lang w:val="en-US"/>
        </w:rPr>
        <w:t>Vol</w:t>
      </w:r>
      <w:r w:rsidRPr="00BC73BB">
        <w:rPr>
          <w:rFonts w:ascii="Times New Roman" w:hAnsi="Times New Roman"/>
          <w:sz w:val="28"/>
          <w:szCs w:val="28"/>
          <w:lang w:val="uk-UA"/>
        </w:rPr>
        <w:t xml:space="preserve">. </w:t>
      </w:r>
      <w:r w:rsidRPr="00BC73BB">
        <w:rPr>
          <w:rFonts w:ascii="Times New Roman" w:hAnsi="Times New Roman"/>
          <w:sz w:val="28"/>
          <w:szCs w:val="28"/>
          <w:lang w:val="en-US"/>
        </w:rPr>
        <w:t>46(12)</w:t>
      </w:r>
      <w:r w:rsidRPr="00BC73BB">
        <w:rPr>
          <w:rFonts w:ascii="Times New Roman" w:hAnsi="Times New Roman"/>
          <w:sz w:val="28"/>
          <w:szCs w:val="28"/>
          <w:lang w:val="uk-UA"/>
        </w:rPr>
        <w:t xml:space="preserve">. Р. </w:t>
      </w:r>
      <w:r w:rsidRPr="00BC73BB">
        <w:rPr>
          <w:rFonts w:ascii="Times New Roman" w:hAnsi="Times New Roman"/>
          <w:sz w:val="28"/>
          <w:szCs w:val="28"/>
          <w:lang w:val="en-US"/>
        </w:rPr>
        <w:t>e1152–e</w:t>
      </w:r>
      <w:r w:rsidRPr="00BC73BB">
        <w:rPr>
          <w:rFonts w:ascii="Times New Roman" w:hAnsi="Times New Roman"/>
          <w:sz w:val="28"/>
          <w:szCs w:val="28"/>
          <w:lang w:val="uk-UA"/>
        </w:rPr>
        <w:t>115</w:t>
      </w:r>
      <w:r w:rsidRPr="00BC73BB">
        <w:rPr>
          <w:rFonts w:ascii="Times New Roman" w:hAnsi="Times New Roman"/>
          <w:sz w:val="28"/>
          <w:szCs w:val="28"/>
          <w:lang w:val="en-US"/>
        </w:rPr>
        <w:t>9.</w:t>
      </w:r>
    </w:p>
    <w:p w:rsidR="001F0A71" w:rsidRPr="00BC73BB" w:rsidRDefault="001F0A71" w:rsidP="00E1086D">
      <w:pPr>
        <w:pStyle w:val="a5"/>
        <w:widowControl w:val="0"/>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uk-UA"/>
        </w:rPr>
        <w:t>165</w:t>
      </w:r>
      <w:r w:rsidRPr="00BC73BB">
        <w:rPr>
          <w:rFonts w:ascii="Times New Roman" w:hAnsi="Times New Roman"/>
          <w:sz w:val="28"/>
          <w:szCs w:val="28"/>
          <w:lang w:val="en-US"/>
        </w:rPr>
        <w:t xml:space="preserve">.Early brain injury associated with systemic inflammation after subarachnoid hemorrhage </w:t>
      </w:r>
      <w:r w:rsidRPr="00BC73BB">
        <w:rPr>
          <w:rFonts w:ascii="Times New Roman" w:hAnsi="Times New Roman"/>
          <w:sz w:val="28"/>
          <w:szCs w:val="28"/>
          <w:lang w:val="uk-UA"/>
        </w:rPr>
        <w:t xml:space="preserve">/ </w:t>
      </w:r>
      <w:r w:rsidRPr="00BC73BB">
        <w:rPr>
          <w:rFonts w:ascii="Times New Roman" w:hAnsi="Times New Roman"/>
          <w:sz w:val="28"/>
          <w:szCs w:val="28"/>
          <w:lang w:val="en-US"/>
        </w:rPr>
        <w:t>J.Savarraj et al. Neurocrit</w:t>
      </w:r>
      <w:r w:rsidRPr="00BC73BB">
        <w:rPr>
          <w:rFonts w:ascii="Times New Roman" w:hAnsi="Times New Roman"/>
          <w:sz w:val="28"/>
          <w:szCs w:val="28"/>
          <w:lang w:val="uk-UA"/>
        </w:rPr>
        <w:t>.</w:t>
      </w:r>
      <w:r w:rsidRPr="00BC73BB">
        <w:rPr>
          <w:rFonts w:ascii="Times New Roman" w:hAnsi="Times New Roman"/>
          <w:sz w:val="28"/>
          <w:szCs w:val="28"/>
          <w:lang w:val="en-US"/>
        </w:rPr>
        <w:t xml:space="preserve"> Care. 2018</w:t>
      </w:r>
      <w:r w:rsidRPr="00BC73BB">
        <w:rPr>
          <w:rFonts w:ascii="Times New Roman" w:hAnsi="Times New Roman"/>
          <w:sz w:val="28"/>
          <w:szCs w:val="28"/>
          <w:lang w:val="uk-UA"/>
        </w:rPr>
        <w:t xml:space="preserve">. </w:t>
      </w:r>
      <w:r w:rsidRPr="00BC73BB">
        <w:rPr>
          <w:rFonts w:ascii="Times New Roman" w:hAnsi="Times New Roman"/>
          <w:sz w:val="28"/>
          <w:szCs w:val="28"/>
          <w:lang w:val="en-US"/>
        </w:rPr>
        <w:t>Vol</w:t>
      </w:r>
      <w:r w:rsidRPr="00BC73BB">
        <w:rPr>
          <w:rFonts w:ascii="Times New Roman" w:hAnsi="Times New Roman"/>
          <w:sz w:val="28"/>
          <w:szCs w:val="28"/>
          <w:lang w:val="uk-UA"/>
        </w:rPr>
        <w:t xml:space="preserve">. </w:t>
      </w:r>
      <w:r w:rsidRPr="00BC73BB">
        <w:rPr>
          <w:rFonts w:ascii="Times New Roman" w:hAnsi="Times New Roman"/>
          <w:sz w:val="28"/>
          <w:szCs w:val="28"/>
          <w:lang w:val="en-US"/>
        </w:rPr>
        <w:t>28(2)</w:t>
      </w:r>
      <w:r w:rsidRPr="00BC73BB">
        <w:rPr>
          <w:rFonts w:ascii="Times New Roman" w:hAnsi="Times New Roman"/>
          <w:sz w:val="28"/>
          <w:szCs w:val="28"/>
          <w:lang w:val="uk-UA"/>
        </w:rPr>
        <w:t xml:space="preserve">. Р. </w:t>
      </w:r>
      <w:r w:rsidRPr="00BC73BB">
        <w:rPr>
          <w:rFonts w:ascii="Times New Roman" w:hAnsi="Times New Roman"/>
          <w:sz w:val="28"/>
          <w:szCs w:val="28"/>
          <w:lang w:val="en-US"/>
        </w:rPr>
        <w:t>203–</w:t>
      </w:r>
      <w:r w:rsidRPr="00BC73BB">
        <w:rPr>
          <w:rFonts w:ascii="Times New Roman" w:hAnsi="Times New Roman"/>
          <w:sz w:val="28"/>
          <w:szCs w:val="28"/>
          <w:lang w:val="uk-UA"/>
        </w:rPr>
        <w:t>2</w:t>
      </w:r>
      <w:r w:rsidRPr="00BC73BB">
        <w:rPr>
          <w:rFonts w:ascii="Times New Roman" w:hAnsi="Times New Roman"/>
          <w:sz w:val="28"/>
          <w:szCs w:val="28"/>
          <w:lang w:val="en-US"/>
        </w:rPr>
        <w:t>11.</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uk-UA"/>
        </w:rPr>
        <w:t>166</w:t>
      </w:r>
      <w:r w:rsidRPr="00BC73BB">
        <w:rPr>
          <w:rFonts w:ascii="Times New Roman" w:hAnsi="Times New Roman"/>
          <w:sz w:val="28"/>
          <w:szCs w:val="28"/>
          <w:lang w:val="en-US"/>
        </w:rPr>
        <w:t>.Clinical use of cerebral microdialysis in patients with aneurysmal subarachnoid hemorrhage-state of the art</w:t>
      </w:r>
      <w:r w:rsidRPr="00BC73BB">
        <w:rPr>
          <w:rFonts w:ascii="Times New Roman" w:hAnsi="Times New Roman"/>
          <w:sz w:val="28"/>
          <w:szCs w:val="28"/>
          <w:lang w:val="uk-UA"/>
        </w:rPr>
        <w:t xml:space="preserve"> / </w:t>
      </w:r>
      <w:r w:rsidRPr="00BC73BB">
        <w:rPr>
          <w:rFonts w:ascii="Times New Roman" w:hAnsi="Times New Roman"/>
          <w:sz w:val="28"/>
          <w:szCs w:val="28"/>
          <w:lang w:val="en-US"/>
        </w:rPr>
        <w:t>R.Helbok et al. Front Neurol. 2017</w:t>
      </w:r>
      <w:r w:rsidRPr="00BC73BB">
        <w:rPr>
          <w:rFonts w:ascii="Times New Roman" w:hAnsi="Times New Roman"/>
          <w:sz w:val="28"/>
          <w:szCs w:val="28"/>
          <w:lang w:val="uk-UA"/>
        </w:rPr>
        <w:t xml:space="preserve">. </w:t>
      </w:r>
      <w:r w:rsidRPr="00BC73BB">
        <w:rPr>
          <w:rFonts w:ascii="Times New Roman" w:hAnsi="Times New Roman"/>
          <w:sz w:val="28"/>
          <w:szCs w:val="28"/>
          <w:lang w:val="en-US"/>
        </w:rPr>
        <w:t>Vol</w:t>
      </w:r>
      <w:r w:rsidRPr="00BC73BB">
        <w:rPr>
          <w:rFonts w:ascii="Times New Roman" w:hAnsi="Times New Roman"/>
          <w:sz w:val="28"/>
          <w:szCs w:val="28"/>
          <w:lang w:val="uk-UA"/>
        </w:rPr>
        <w:t xml:space="preserve">. </w:t>
      </w:r>
      <w:r w:rsidRPr="00BC73BB">
        <w:rPr>
          <w:rFonts w:ascii="Times New Roman" w:hAnsi="Times New Roman"/>
          <w:sz w:val="28"/>
          <w:szCs w:val="28"/>
          <w:lang w:val="en-US"/>
        </w:rPr>
        <w:t>8</w:t>
      </w:r>
      <w:r w:rsidRPr="00BC73BB">
        <w:rPr>
          <w:rFonts w:ascii="Times New Roman" w:hAnsi="Times New Roman"/>
          <w:sz w:val="28"/>
          <w:szCs w:val="28"/>
          <w:lang w:val="uk-UA"/>
        </w:rPr>
        <w:t xml:space="preserve">. Р. </w:t>
      </w:r>
      <w:r w:rsidRPr="00BC73BB">
        <w:rPr>
          <w:rFonts w:ascii="Times New Roman" w:hAnsi="Times New Roman"/>
          <w:sz w:val="28"/>
          <w:szCs w:val="28"/>
          <w:lang w:val="en-US"/>
        </w:rPr>
        <w:t>565.</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167</w:t>
      </w:r>
      <w:r w:rsidRPr="00BC73BB">
        <w:rPr>
          <w:rFonts w:ascii="Times New Roman" w:hAnsi="Times New Roman"/>
          <w:sz w:val="28"/>
          <w:szCs w:val="28"/>
          <w:lang w:val="en-US"/>
        </w:rPr>
        <w:t>.</w:t>
      </w:r>
      <w:hyperlink r:id="rId82" w:history="1">
        <w:r w:rsidRPr="00BC73BB">
          <w:rPr>
            <w:rStyle w:val="ac"/>
            <w:rFonts w:ascii="Times New Roman" w:eastAsiaTheme="majorEastAsia" w:hAnsi="Times New Roman"/>
            <w:color w:val="auto"/>
            <w:sz w:val="28"/>
            <w:szCs w:val="28"/>
            <w:u w:val="none"/>
            <w:bdr w:val="none" w:sz="0" w:space="0" w:color="auto" w:frame="1"/>
            <w:shd w:val="clear" w:color="auto" w:fill="FFFFFF"/>
            <w:lang w:val="en-US"/>
          </w:rPr>
          <w:t>Rass</w:t>
        </w:r>
      </w:hyperlink>
      <w:r w:rsidRPr="00BC73BB">
        <w:rPr>
          <w:rStyle w:val="ac"/>
          <w:rFonts w:ascii="Times New Roman" w:eastAsiaTheme="majorEastAsia" w:hAnsi="Times New Roman"/>
          <w:color w:val="auto"/>
          <w:sz w:val="28"/>
          <w:szCs w:val="28"/>
          <w:u w:val="none"/>
          <w:bdr w:val="none" w:sz="0" w:space="0" w:color="auto" w:frame="1"/>
          <w:shd w:val="clear" w:color="auto" w:fill="FFFFFF"/>
          <w:lang w:val="en-US"/>
        </w:rPr>
        <w:t>V.</w:t>
      </w:r>
      <w:r w:rsidRPr="00BC73BB">
        <w:rPr>
          <w:rFonts w:ascii="Times New Roman" w:hAnsi="Times New Roman"/>
          <w:sz w:val="28"/>
          <w:szCs w:val="28"/>
          <w:lang w:val="uk-UA"/>
        </w:rPr>
        <w:t xml:space="preserve">, </w:t>
      </w:r>
      <w:hyperlink r:id="rId83" w:history="1">
        <w:r w:rsidRPr="00BC73BB">
          <w:rPr>
            <w:rStyle w:val="ac"/>
            <w:rFonts w:ascii="Times New Roman" w:eastAsiaTheme="majorEastAsia" w:hAnsi="Times New Roman"/>
            <w:color w:val="auto"/>
            <w:sz w:val="28"/>
            <w:szCs w:val="28"/>
            <w:u w:val="none"/>
            <w:bdr w:val="none" w:sz="0" w:space="0" w:color="auto" w:frame="1"/>
            <w:shd w:val="clear" w:color="auto" w:fill="FFFFFF"/>
            <w:lang w:val="en-US"/>
          </w:rPr>
          <w:t>Helbok</w:t>
        </w:r>
      </w:hyperlink>
      <w:r w:rsidRPr="00BC73BB">
        <w:rPr>
          <w:rFonts w:ascii="Times New Roman" w:hAnsi="Times New Roman"/>
          <w:sz w:val="28"/>
          <w:szCs w:val="28"/>
          <w:lang w:val="uk-UA"/>
        </w:rPr>
        <w:t xml:space="preserve"> R. </w:t>
      </w:r>
      <w:r w:rsidRPr="00BC73BB">
        <w:rPr>
          <w:rFonts w:ascii="Times New Roman" w:hAnsi="Times New Roman"/>
          <w:sz w:val="28"/>
          <w:szCs w:val="28"/>
          <w:lang w:val="en-US"/>
        </w:rPr>
        <w:t>Early Brain Injury After Poor-Grade Subarachnoid Hemorrhage</w:t>
      </w:r>
      <w:hyperlink r:id="rId84" w:tgtFrame="_blank" w:history="1">
        <w:r w:rsidRPr="00BC73BB">
          <w:rPr>
            <w:rStyle w:val="ac"/>
            <w:rFonts w:ascii="Times New Roman" w:eastAsiaTheme="majorEastAsia" w:hAnsi="Times New Roman"/>
            <w:color w:val="auto"/>
            <w:sz w:val="28"/>
            <w:szCs w:val="28"/>
            <w:u w:val="none"/>
            <w:bdr w:val="none" w:sz="0" w:space="0" w:color="auto" w:frame="1"/>
            <w:lang w:val="en-US"/>
          </w:rPr>
          <w:t>Current Neurology and Neuroscience</w:t>
        </w:r>
        <w:r w:rsidRPr="00BC73BB">
          <w:rPr>
            <w:rStyle w:val="ac"/>
            <w:rFonts w:ascii="Times New Roman" w:eastAsiaTheme="majorEastAsia" w:hAnsi="Times New Roman"/>
            <w:color w:val="auto"/>
            <w:sz w:val="28"/>
            <w:szCs w:val="28"/>
            <w:u w:val="none"/>
            <w:bdr w:val="none" w:sz="0" w:space="0" w:color="auto" w:frame="1"/>
            <w:lang w:val="uk-UA"/>
          </w:rPr>
          <w:t>. Reports.</w:t>
        </w:r>
        <w:r w:rsidRPr="00BC73BB">
          <w:rPr>
            <w:rFonts w:ascii="Times New Roman" w:hAnsi="Times New Roman"/>
            <w:sz w:val="28"/>
            <w:szCs w:val="28"/>
            <w:lang w:val="en-US"/>
          </w:rPr>
          <w:t>2019</w:t>
        </w:r>
        <w:r w:rsidRPr="00BC73BB">
          <w:rPr>
            <w:rFonts w:ascii="Times New Roman" w:hAnsi="Times New Roman"/>
            <w:sz w:val="28"/>
            <w:szCs w:val="28"/>
            <w:lang w:val="uk-UA"/>
          </w:rPr>
          <w:t xml:space="preserve">. </w:t>
        </w:r>
      </w:hyperlink>
      <w:r w:rsidRPr="00BC73BB">
        <w:rPr>
          <w:rFonts w:ascii="Times New Roman" w:hAnsi="Times New Roman"/>
          <w:sz w:val="28"/>
          <w:szCs w:val="28"/>
          <w:lang w:val="en-US"/>
        </w:rPr>
        <w:t>Vol</w:t>
      </w:r>
      <w:r w:rsidRPr="00BC73BB">
        <w:rPr>
          <w:rFonts w:ascii="Times New Roman" w:hAnsi="Times New Roman"/>
          <w:sz w:val="28"/>
          <w:szCs w:val="28"/>
          <w:lang w:val="uk-UA"/>
        </w:rPr>
        <w:t xml:space="preserve">. </w:t>
      </w:r>
      <w:r w:rsidRPr="00BC73BB">
        <w:rPr>
          <w:rFonts w:ascii="Times New Roman" w:hAnsi="Times New Roman"/>
          <w:sz w:val="28"/>
          <w:szCs w:val="28"/>
          <w:lang w:val="en-US"/>
        </w:rPr>
        <w:t>19(10)</w:t>
      </w:r>
      <w:r w:rsidRPr="00BC73BB">
        <w:rPr>
          <w:rFonts w:ascii="Times New Roman" w:hAnsi="Times New Roman"/>
          <w:sz w:val="28"/>
          <w:szCs w:val="28"/>
          <w:lang w:val="uk-UA"/>
        </w:rPr>
        <w:t>. Р. 6–9.</w:t>
      </w:r>
    </w:p>
    <w:p w:rsidR="001F0A71" w:rsidRPr="00BC73BB" w:rsidRDefault="001F0A71" w:rsidP="00E1086D">
      <w:pPr>
        <w:pStyle w:val="a5"/>
        <w:widowControl w:val="0"/>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168 </w:t>
      </w:r>
      <w:r w:rsidRPr="00BC73BB">
        <w:rPr>
          <w:rFonts w:ascii="Times New Roman" w:hAnsi="Times New Roman"/>
          <w:sz w:val="28"/>
          <w:szCs w:val="28"/>
          <w:lang w:val="en-US"/>
        </w:rPr>
        <w:t>.WeimerJ</w:t>
      </w:r>
      <w:r w:rsidRPr="00BC73BB">
        <w:rPr>
          <w:rFonts w:ascii="Times New Roman" w:hAnsi="Times New Roman"/>
          <w:sz w:val="28"/>
          <w:szCs w:val="28"/>
          <w:lang w:val="uk-UA"/>
        </w:rPr>
        <w:t xml:space="preserve">. </w:t>
      </w:r>
      <w:r w:rsidRPr="00BC73BB">
        <w:rPr>
          <w:rFonts w:ascii="Times New Roman" w:hAnsi="Times New Roman"/>
          <w:sz w:val="28"/>
          <w:szCs w:val="28"/>
          <w:lang w:val="en-US"/>
        </w:rPr>
        <w:t>M</w:t>
      </w:r>
      <w:r w:rsidRPr="00BC73BB">
        <w:rPr>
          <w:rFonts w:ascii="Times New Roman" w:hAnsi="Times New Roman"/>
          <w:sz w:val="28"/>
          <w:szCs w:val="28"/>
          <w:lang w:val="uk-UA"/>
        </w:rPr>
        <w:t xml:space="preserve">., </w:t>
      </w:r>
      <w:r w:rsidRPr="00BC73BB">
        <w:rPr>
          <w:rFonts w:ascii="Times New Roman" w:hAnsi="Times New Roman"/>
          <w:sz w:val="28"/>
          <w:szCs w:val="28"/>
          <w:lang w:val="en-US"/>
        </w:rPr>
        <w:t>JonesS</w:t>
      </w:r>
      <w:r w:rsidRPr="00BC73BB">
        <w:rPr>
          <w:rFonts w:ascii="Times New Roman" w:hAnsi="Times New Roman"/>
          <w:sz w:val="28"/>
          <w:szCs w:val="28"/>
          <w:lang w:val="uk-UA"/>
        </w:rPr>
        <w:t xml:space="preserve">. </w:t>
      </w:r>
      <w:r w:rsidRPr="00BC73BB">
        <w:rPr>
          <w:rFonts w:ascii="Times New Roman" w:hAnsi="Times New Roman"/>
          <w:sz w:val="28"/>
          <w:szCs w:val="28"/>
          <w:lang w:val="en-US"/>
        </w:rPr>
        <w:t>E</w:t>
      </w:r>
      <w:r w:rsidRPr="00BC73BB">
        <w:rPr>
          <w:rFonts w:ascii="Times New Roman" w:hAnsi="Times New Roman"/>
          <w:sz w:val="28"/>
          <w:szCs w:val="28"/>
          <w:lang w:val="uk-UA"/>
        </w:rPr>
        <w:t xml:space="preserve">., </w:t>
      </w:r>
      <w:r w:rsidRPr="00BC73BB">
        <w:rPr>
          <w:rFonts w:ascii="Times New Roman" w:hAnsi="Times New Roman"/>
          <w:sz w:val="28"/>
          <w:szCs w:val="28"/>
          <w:lang w:val="en-US"/>
        </w:rPr>
        <w:t>FronteraJ</w:t>
      </w:r>
      <w:r w:rsidRPr="00BC73BB">
        <w:rPr>
          <w:rFonts w:ascii="Times New Roman" w:hAnsi="Times New Roman"/>
          <w:sz w:val="28"/>
          <w:szCs w:val="28"/>
          <w:lang w:val="uk-UA"/>
        </w:rPr>
        <w:t xml:space="preserve">. </w:t>
      </w:r>
      <w:r w:rsidRPr="00BC73BB">
        <w:rPr>
          <w:rFonts w:ascii="Times New Roman" w:hAnsi="Times New Roman"/>
          <w:sz w:val="28"/>
          <w:szCs w:val="28"/>
          <w:lang w:val="en-US"/>
        </w:rPr>
        <w:t>A</w:t>
      </w:r>
      <w:r w:rsidRPr="00BC73BB">
        <w:rPr>
          <w:rFonts w:ascii="Times New Roman" w:hAnsi="Times New Roman"/>
          <w:sz w:val="28"/>
          <w:szCs w:val="28"/>
          <w:lang w:val="uk-UA"/>
        </w:rPr>
        <w:t xml:space="preserve">. </w:t>
      </w:r>
      <w:r w:rsidRPr="00BC73BB">
        <w:rPr>
          <w:rFonts w:ascii="Times New Roman" w:hAnsi="Times New Roman"/>
          <w:sz w:val="28"/>
          <w:szCs w:val="28"/>
          <w:lang w:val="en-US"/>
        </w:rPr>
        <w:t>Acute cytotoxic and vasogenic edema after subarachnoid hemorrhage: a quantitative MRI study. AJNR</w:t>
      </w:r>
      <w:r w:rsidRPr="00BC73BB">
        <w:rPr>
          <w:rFonts w:ascii="Times New Roman" w:hAnsi="Times New Roman"/>
          <w:sz w:val="28"/>
          <w:szCs w:val="28"/>
          <w:lang w:val="uk-UA"/>
        </w:rPr>
        <w:t>.</w:t>
      </w:r>
      <w:r w:rsidRPr="00BC73BB">
        <w:rPr>
          <w:rFonts w:ascii="Times New Roman" w:hAnsi="Times New Roman"/>
          <w:sz w:val="28"/>
          <w:szCs w:val="28"/>
          <w:lang w:val="en-US"/>
        </w:rPr>
        <w:t xml:space="preserve"> Am</w:t>
      </w:r>
      <w:r w:rsidRPr="00BC73BB">
        <w:rPr>
          <w:rFonts w:ascii="Times New Roman" w:hAnsi="Times New Roman"/>
          <w:sz w:val="28"/>
          <w:szCs w:val="28"/>
          <w:lang w:val="uk-UA"/>
        </w:rPr>
        <w:t>.</w:t>
      </w:r>
      <w:r w:rsidRPr="00BC73BB">
        <w:rPr>
          <w:rFonts w:ascii="Times New Roman" w:hAnsi="Times New Roman"/>
          <w:sz w:val="28"/>
          <w:szCs w:val="28"/>
          <w:lang w:val="en-US"/>
        </w:rPr>
        <w:t xml:space="preserve"> J</w:t>
      </w:r>
      <w:r w:rsidRPr="00BC73BB">
        <w:rPr>
          <w:rFonts w:ascii="Times New Roman" w:hAnsi="Times New Roman"/>
          <w:sz w:val="28"/>
          <w:szCs w:val="28"/>
          <w:lang w:val="uk-UA"/>
        </w:rPr>
        <w:t>.</w:t>
      </w:r>
      <w:r w:rsidRPr="00BC73BB">
        <w:rPr>
          <w:rFonts w:ascii="Times New Roman" w:hAnsi="Times New Roman"/>
          <w:sz w:val="28"/>
          <w:szCs w:val="28"/>
          <w:lang w:val="en-US"/>
        </w:rPr>
        <w:t>Neuroradiol. 2017</w:t>
      </w:r>
      <w:r w:rsidRPr="00BC73BB">
        <w:rPr>
          <w:rFonts w:ascii="Times New Roman" w:hAnsi="Times New Roman"/>
          <w:sz w:val="28"/>
          <w:szCs w:val="28"/>
          <w:lang w:val="uk-UA"/>
        </w:rPr>
        <w:t xml:space="preserve">. </w:t>
      </w:r>
      <w:r w:rsidRPr="00BC73BB">
        <w:rPr>
          <w:rFonts w:ascii="Times New Roman" w:hAnsi="Times New Roman"/>
          <w:sz w:val="28"/>
          <w:szCs w:val="28"/>
          <w:lang w:val="en-US"/>
        </w:rPr>
        <w:t>Vol. 38(5)</w:t>
      </w:r>
      <w:r w:rsidRPr="00BC73BB">
        <w:rPr>
          <w:rFonts w:ascii="Times New Roman" w:hAnsi="Times New Roman"/>
          <w:sz w:val="28"/>
          <w:szCs w:val="28"/>
          <w:lang w:val="uk-UA"/>
        </w:rPr>
        <w:t xml:space="preserve">. Р. </w:t>
      </w:r>
      <w:r w:rsidRPr="00BC73BB">
        <w:rPr>
          <w:rFonts w:ascii="Times New Roman" w:hAnsi="Times New Roman"/>
          <w:sz w:val="28"/>
          <w:szCs w:val="28"/>
          <w:lang w:val="en-US"/>
        </w:rPr>
        <w:t>928–</w:t>
      </w:r>
      <w:r w:rsidRPr="00BC73BB">
        <w:rPr>
          <w:rFonts w:ascii="Times New Roman" w:hAnsi="Times New Roman"/>
          <w:sz w:val="28"/>
          <w:szCs w:val="28"/>
          <w:lang w:val="uk-UA"/>
        </w:rPr>
        <w:t>9</w:t>
      </w:r>
      <w:r w:rsidRPr="00BC73BB">
        <w:rPr>
          <w:rFonts w:ascii="Times New Roman" w:hAnsi="Times New Roman"/>
          <w:sz w:val="28"/>
          <w:szCs w:val="28"/>
          <w:lang w:val="en-US"/>
        </w:rPr>
        <w:t>34.</w:t>
      </w:r>
    </w:p>
    <w:p w:rsidR="001F0A71" w:rsidRPr="00BC73BB" w:rsidRDefault="001F0A71" w:rsidP="00E1086D">
      <w:pPr>
        <w:pStyle w:val="a5"/>
        <w:tabs>
          <w:tab w:val="left" w:pos="851"/>
          <w:tab w:val="left" w:pos="993"/>
        </w:tabs>
        <w:spacing w:after="0" w:line="360" w:lineRule="auto"/>
        <w:ind w:left="0" w:firstLine="284"/>
        <w:jc w:val="both"/>
        <w:textAlignment w:val="baseline"/>
        <w:rPr>
          <w:rStyle w:val="ac"/>
          <w:rFonts w:ascii="Times New Roman" w:eastAsiaTheme="majorEastAsia" w:hAnsi="Times New Roman"/>
          <w:color w:val="auto"/>
          <w:sz w:val="28"/>
          <w:szCs w:val="28"/>
          <w:u w:val="none"/>
          <w:lang w:val="en-US"/>
        </w:rPr>
      </w:pPr>
      <w:r w:rsidRPr="00BC73BB">
        <w:rPr>
          <w:rFonts w:ascii="Times New Roman" w:hAnsi="Times New Roman"/>
          <w:sz w:val="28"/>
          <w:szCs w:val="28"/>
          <w:lang w:val="uk-UA"/>
        </w:rPr>
        <w:lastRenderedPageBreak/>
        <w:t>169</w:t>
      </w:r>
      <w:r w:rsidRPr="00BC73BB">
        <w:rPr>
          <w:rFonts w:ascii="Times New Roman" w:hAnsi="Times New Roman"/>
          <w:sz w:val="28"/>
          <w:szCs w:val="28"/>
          <w:lang w:val="en-US"/>
        </w:rPr>
        <w:t>.Acute ischaemia after subarachnoid haemorrhage, relationship with early brain injury and impact on outcome: a prospective quantitative MRI study</w:t>
      </w:r>
      <w:r w:rsidRPr="00BC73BB">
        <w:rPr>
          <w:rFonts w:ascii="Times New Roman" w:hAnsi="Times New Roman"/>
          <w:sz w:val="28"/>
          <w:szCs w:val="28"/>
          <w:lang w:val="uk-UA"/>
        </w:rPr>
        <w:t xml:space="preserve"> / </w:t>
      </w:r>
      <w:r w:rsidRPr="00BC73BB">
        <w:rPr>
          <w:rFonts w:ascii="Times New Roman" w:hAnsi="Times New Roman"/>
          <w:sz w:val="28"/>
          <w:szCs w:val="28"/>
          <w:lang w:val="en-US"/>
        </w:rPr>
        <w:t>J</w:t>
      </w:r>
      <w:r w:rsidRPr="00BC73BB">
        <w:rPr>
          <w:rFonts w:ascii="Times New Roman" w:hAnsi="Times New Roman"/>
          <w:sz w:val="28"/>
          <w:szCs w:val="28"/>
          <w:lang w:val="uk-UA"/>
        </w:rPr>
        <w:t xml:space="preserve">. </w:t>
      </w:r>
      <w:r w:rsidRPr="00BC73BB">
        <w:rPr>
          <w:rFonts w:ascii="Times New Roman" w:hAnsi="Times New Roman"/>
          <w:sz w:val="28"/>
          <w:szCs w:val="28"/>
          <w:lang w:val="en-US"/>
        </w:rPr>
        <w:t>A</w:t>
      </w:r>
      <w:r w:rsidRPr="00BC73BB">
        <w:rPr>
          <w:rFonts w:ascii="Times New Roman" w:hAnsi="Times New Roman"/>
          <w:sz w:val="28"/>
          <w:szCs w:val="28"/>
          <w:lang w:val="uk-UA"/>
        </w:rPr>
        <w:t xml:space="preserve">. </w:t>
      </w:r>
      <w:r w:rsidRPr="00BC73BB">
        <w:rPr>
          <w:rFonts w:ascii="Times New Roman" w:hAnsi="Times New Roman"/>
          <w:sz w:val="28"/>
          <w:szCs w:val="28"/>
          <w:lang w:val="en-US"/>
        </w:rPr>
        <w:t>Fronteraet al. J</w:t>
      </w:r>
      <w:r w:rsidRPr="00BC73BB">
        <w:rPr>
          <w:rFonts w:ascii="Times New Roman" w:hAnsi="Times New Roman"/>
          <w:sz w:val="28"/>
          <w:szCs w:val="28"/>
          <w:lang w:val="uk-UA"/>
        </w:rPr>
        <w:t>.</w:t>
      </w:r>
      <w:r w:rsidRPr="00BC73BB">
        <w:rPr>
          <w:rFonts w:ascii="Times New Roman" w:hAnsi="Times New Roman"/>
          <w:sz w:val="28"/>
          <w:szCs w:val="28"/>
          <w:lang w:val="en-US"/>
        </w:rPr>
        <w:t>Neur</w:t>
      </w:r>
      <w:r w:rsidRPr="00BC73BB">
        <w:rPr>
          <w:rFonts w:ascii="Times New Roman" w:hAnsi="Times New Roman"/>
          <w:sz w:val="28"/>
          <w:szCs w:val="28"/>
          <w:lang w:val="uk-UA"/>
        </w:rPr>
        <w:t>.</w:t>
      </w:r>
      <w:r w:rsidRPr="00BC73BB">
        <w:rPr>
          <w:rFonts w:ascii="Times New Roman" w:hAnsi="Times New Roman"/>
          <w:sz w:val="28"/>
          <w:szCs w:val="28"/>
          <w:lang w:val="en-US"/>
        </w:rPr>
        <w:t>Neurosurg</w:t>
      </w:r>
      <w:r w:rsidRPr="00BC73BB">
        <w:rPr>
          <w:rFonts w:ascii="Times New Roman" w:hAnsi="Times New Roman"/>
          <w:sz w:val="28"/>
          <w:szCs w:val="28"/>
          <w:lang w:val="uk-UA"/>
        </w:rPr>
        <w:t>.</w:t>
      </w:r>
      <w:r w:rsidRPr="00BC73BB">
        <w:rPr>
          <w:rFonts w:ascii="Times New Roman" w:hAnsi="Times New Roman"/>
          <w:sz w:val="28"/>
          <w:szCs w:val="28"/>
          <w:lang w:val="en-US"/>
        </w:rPr>
        <w:t>Psychiat. 2015</w:t>
      </w:r>
      <w:r w:rsidRPr="00BC73BB">
        <w:rPr>
          <w:rFonts w:ascii="Times New Roman" w:hAnsi="Times New Roman"/>
          <w:sz w:val="28"/>
          <w:szCs w:val="28"/>
          <w:lang w:val="uk-UA"/>
        </w:rPr>
        <w:t xml:space="preserve">. </w:t>
      </w:r>
      <w:r w:rsidRPr="00BC73BB">
        <w:rPr>
          <w:rFonts w:ascii="Times New Roman" w:hAnsi="Times New Roman"/>
          <w:sz w:val="28"/>
          <w:szCs w:val="28"/>
          <w:lang w:val="en-US"/>
        </w:rPr>
        <w:t>Vol.86(1)</w:t>
      </w:r>
      <w:r w:rsidRPr="00BC73BB">
        <w:rPr>
          <w:rFonts w:ascii="Times New Roman" w:hAnsi="Times New Roman"/>
          <w:sz w:val="28"/>
          <w:szCs w:val="28"/>
          <w:lang w:val="uk-UA"/>
        </w:rPr>
        <w:t xml:space="preserve">. Р. </w:t>
      </w:r>
      <w:r w:rsidRPr="00BC73BB">
        <w:rPr>
          <w:rFonts w:ascii="Times New Roman" w:hAnsi="Times New Roman"/>
          <w:sz w:val="28"/>
          <w:szCs w:val="28"/>
          <w:lang w:val="en-US"/>
        </w:rPr>
        <w:t>71–</w:t>
      </w:r>
      <w:r w:rsidRPr="00BC73BB">
        <w:rPr>
          <w:rFonts w:ascii="Times New Roman" w:hAnsi="Times New Roman"/>
          <w:sz w:val="28"/>
          <w:szCs w:val="28"/>
          <w:lang w:val="uk-UA"/>
        </w:rPr>
        <w:t>7</w:t>
      </w:r>
      <w:r w:rsidRPr="00BC73BB">
        <w:rPr>
          <w:rFonts w:ascii="Times New Roman" w:hAnsi="Times New Roman"/>
          <w:sz w:val="28"/>
          <w:szCs w:val="28"/>
          <w:lang w:val="en-US"/>
        </w:rPr>
        <w:t>8.</w:t>
      </w:r>
    </w:p>
    <w:p w:rsidR="001F0A71" w:rsidRPr="002F4D2E"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170</w:t>
      </w:r>
      <w:r w:rsidRPr="00BC73BB">
        <w:rPr>
          <w:rFonts w:ascii="Times New Roman" w:hAnsi="Times New Roman"/>
          <w:sz w:val="28"/>
          <w:szCs w:val="28"/>
          <w:lang w:val="en-US"/>
        </w:rPr>
        <w:t xml:space="preserve">.Mechanisms of global cerebral edema formation in aneurysmal subarachnoid hemorrhage </w:t>
      </w:r>
      <w:r w:rsidRPr="00BC73BB">
        <w:rPr>
          <w:rFonts w:ascii="Times New Roman" w:hAnsi="Times New Roman"/>
          <w:sz w:val="28"/>
          <w:szCs w:val="28"/>
          <w:lang w:val="uk-UA"/>
        </w:rPr>
        <w:t xml:space="preserve">/ </w:t>
      </w:r>
      <w:r w:rsidRPr="00BC73BB">
        <w:rPr>
          <w:rFonts w:ascii="Times New Roman" w:hAnsi="Times New Roman"/>
          <w:sz w:val="28"/>
          <w:szCs w:val="28"/>
          <w:lang w:val="en-US"/>
        </w:rPr>
        <w:t>E</w:t>
      </w:r>
      <w:r w:rsidRPr="00BC73BB">
        <w:rPr>
          <w:rFonts w:ascii="Times New Roman" w:hAnsi="Times New Roman"/>
          <w:sz w:val="28"/>
          <w:szCs w:val="28"/>
          <w:lang w:val="uk-UA"/>
        </w:rPr>
        <w:t xml:space="preserve">. </w:t>
      </w:r>
      <w:r w:rsidRPr="00BC73BB">
        <w:rPr>
          <w:rFonts w:ascii="Times New Roman" w:hAnsi="Times New Roman"/>
          <w:sz w:val="28"/>
          <w:szCs w:val="28"/>
          <w:lang w:val="en-US"/>
        </w:rPr>
        <w:t>G.Hayman et al. Neurocrit Care. 2017</w:t>
      </w:r>
      <w:r w:rsidRPr="00BC73BB">
        <w:rPr>
          <w:rFonts w:ascii="Times New Roman" w:hAnsi="Times New Roman"/>
          <w:sz w:val="28"/>
          <w:szCs w:val="28"/>
          <w:lang w:val="uk-UA"/>
        </w:rPr>
        <w:t xml:space="preserve">. </w:t>
      </w:r>
      <w:r w:rsidRPr="00BC73BB">
        <w:rPr>
          <w:rFonts w:ascii="Times New Roman" w:hAnsi="Times New Roman"/>
          <w:sz w:val="28"/>
          <w:szCs w:val="28"/>
          <w:lang w:val="en-US"/>
        </w:rPr>
        <w:t>Vol.26(2)</w:t>
      </w:r>
      <w:r w:rsidRPr="00BC73BB">
        <w:rPr>
          <w:rFonts w:ascii="Times New Roman" w:hAnsi="Times New Roman"/>
          <w:sz w:val="28"/>
          <w:szCs w:val="28"/>
          <w:lang w:val="uk-UA"/>
        </w:rPr>
        <w:t xml:space="preserve">. Р. </w:t>
      </w:r>
      <w:r w:rsidRPr="002F4D2E">
        <w:rPr>
          <w:rFonts w:ascii="Times New Roman" w:hAnsi="Times New Roman"/>
          <w:sz w:val="28"/>
          <w:szCs w:val="28"/>
          <w:lang w:val="uk-UA"/>
        </w:rPr>
        <w:t>301–</w:t>
      </w:r>
      <w:r w:rsidRPr="00BC73BB">
        <w:rPr>
          <w:rFonts w:ascii="Times New Roman" w:hAnsi="Times New Roman"/>
          <w:sz w:val="28"/>
          <w:szCs w:val="28"/>
          <w:lang w:val="uk-UA"/>
        </w:rPr>
        <w:t>3</w:t>
      </w:r>
      <w:r w:rsidRPr="002F4D2E">
        <w:rPr>
          <w:rFonts w:ascii="Times New Roman" w:hAnsi="Times New Roman"/>
          <w:sz w:val="28"/>
          <w:szCs w:val="28"/>
          <w:lang w:val="uk-UA"/>
        </w:rPr>
        <w:t>10.</w:t>
      </w:r>
    </w:p>
    <w:p w:rsidR="001F0A71" w:rsidRPr="00BC73BB" w:rsidRDefault="001F0A71" w:rsidP="00E1086D">
      <w:pPr>
        <w:pStyle w:val="a5"/>
        <w:tabs>
          <w:tab w:val="left" w:pos="851"/>
          <w:tab w:val="left" w:pos="993"/>
        </w:tabs>
        <w:spacing w:after="0" w:line="360" w:lineRule="auto"/>
        <w:ind w:left="0" w:firstLine="284"/>
        <w:jc w:val="both"/>
        <w:textAlignment w:val="baseline"/>
        <w:rPr>
          <w:rFonts w:ascii="Times New Roman" w:hAnsi="Times New Roman"/>
          <w:sz w:val="28"/>
          <w:szCs w:val="28"/>
          <w:lang w:val="uk-UA"/>
        </w:rPr>
      </w:pPr>
      <w:r w:rsidRPr="00BC73BB">
        <w:rPr>
          <w:rFonts w:ascii="Times New Roman" w:hAnsi="Times New Roman"/>
          <w:sz w:val="28"/>
          <w:szCs w:val="28"/>
          <w:lang w:val="uk-UA"/>
        </w:rPr>
        <w:t>171</w:t>
      </w:r>
      <w:r w:rsidRPr="002F4D2E">
        <w:rPr>
          <w:rFonts w:ascii="Times New Roman" w:hAnsi="Times New Roman"/>
          <w:sz w:val="28"/>
          <w:szCs w:val="28"/>
          <w:lang w:val="uk-UA"/>
        </w:rPr>
        <w:t>.</w:t>
      </w:r>
      <w:r w:rsidRPr="00BC73BB">
        <w:rPr>
          <w:rFonts w:ascii="Times New Roman" w:hAnsi="Times New Roman"/>
          <w:sz w:val="28"/>
          <w:szCs w:val="28"/>
          <w:lang w:val="uk-UA"/>
        </w:rPr>
        <w:t xml:space="preserve"> Пасічник Г. П., Мартинчук Ю. Н., Орел В. М. Нейропротекція після системного тромболізису в пацієнтів з ішемічним інсультом: огляд клінічних випадків. </w:t>
      </w:r>
      <w:r w:rsidRPr="00BC73BB">
        <w:rPr>
          <w:rFonts w:ascii="Times New Roman" w:hAnsi="Times New Roman"/>
          <w:caps/>
          <w:sz w:val="28"/>
          <w:szCs w:val="28"/>
          <w:lang w:val="uk-UA"/>
        </w:rPr>
        <w:t>М</w:t>
      </w:r>
      <w:r w:rsidRPr="00BC73BB">
        <w:rPr>
          <w:rFonts w:ascii="Times New Roman" w:hAnsi="Times New Roman"/>
          <w:sz w:val="28"/>
          <w:szCs w:val="28"/>
          <w:lang w:val="uk-UA"/>
        </w:rPr>
        <w:t xml:space="preserve">еждунар. невролог. журн. </w:t>
      </w:r>
      <w:r w:rsidRPr="00BC73BB">
        <w:rPr>
          <w:rFonts w:ascii="Times New Roman" w:hAnsi="Times New Roman"/>
          <w:caps/>
          <w:sz w:val="28"/>
          <w:szCs w:val="28"/>
          <w:lang w:val="uk-UA"/>
        </w:rPr>
        <w:t xml:space="preserve">2019. </w:t>
      </w:r>
      <w:r w:rsidRPr="00BC73BB">
        <w:rPr>
          <w:rFonts w:ascii="Times New Roman" w:hAnsi="Times New Roman"/>
          <w:sz w:val="28"/>
          <w:szCs w:val="28"/>
          <w:lang w:val="uk-UA"/>
        </w:rPr>
        <w:t xml:space="preserve">№ </w:t>
      </w:r>
      <w:r w:rsidRPr="00BC73BB">
        <w:rPr>
          <w:rFonts w:ascii="Times New Roman" w:hAnsi="Times New Roman"/>
          <w:caps/>
          <w:sz w:val="28"/>
          <w:szCs w:val="28"/>
          <w:lang w:val="uk-UA"/>
        </w:rPr>
        <w:t>6 (108). С. 37</w:t>
      </w:r>
      <w:r w:rsidRPr="00BC73BB">
        <w:rPr>
          <w:rFonts w:ascii="Times New Roman" w:hAnsi="Times New Roman"/>
          <w:sz w:val="28"/>
          <w:szCs w:val="28"/>
          <w:lang w:val="uk-UA"/>
        </w:rPr>
        <w:t>–</w:t>
      </w:r>
      <w:r w:rsidRPr="00BC73BB">
        <w:rPr>
          <w:rFonts w:ascii="Times New Roman" w:hAnsi="Times New Roman"/>
          <w:caps/>
          <w:sz w:val="28"/>
          <w:szCs w:val="28"/>
          <w:lang w:val="uk-UA"/>
        </w:rPr>
        <w:t>41.</w:t>
      </w:r>
    </w:p>
    <w:p w:rsidR="001F0A71" w:rsidRPr="00086D89" w:rsidRDefault="001F0A71" w:rsidP="00E1086D">
      <w:pPr>
        <w:pStyle w:val="a5"/>
        <w:tabs>
          <w:tab w:val="left" w:pos="851"/>
          <w:tab w:val="left" w:pos="993"/>
          <w:tab w:val="left" w:pos="1134"/>
          <w:tab w:val="left" w:pos="1276"/>
        </w:tabs>
        <w:spacing w:after="0" w:line="360" w:lineRule="auto"/>
        <w:ind w:left="0" w:firstLine="284"/>
        <w:jc w:val="both"/>
        <w:textAlignment w:val="baseline"/>
        <w:rPr>
          <w:rFonts w:ascii="Times New Roman" w:hAnsi="Times New Roman"/>
          <w:sz w:val="28"/>
          <w:szCs w:val="28"/>
          <w:lang w:val="uk-UA"/>
        </w:rPr>
      </w:pPr>
      <w:r w:rsidRPr="00BC73BB">
        <w:rPr>
          <w:rFonts w:ascii="Times New Roman" w:hAnsi="Times New Roman"/>
          <w:sz w:val="28"/>
          <w:szCs w:val="28"/>
          <w:lang w:val="uk-UA"/>
        </w:rPr>
        <w:t>172</w:t>
      </w:r>
      <w:r w:rsidRPr="00BC73BB">
        <w:rPr>
          <w:rFonts w:ascii="Times New Roman" w:hAnsi="Times New Roman"/>
          <w:sz w:val="28"/>
          <w:szCs w:val="28"/>
        </w:rPr>
        <w:t>.Бурчинский С.Г. Нейрометаболическая фармакотерапия при хронических нарушениях мозгового кровообращения</w:t>
      </w:r>
      <w:r w:rsidRPr="00BC73BB">
        <w:rPr>
          <w:rFonts w:ascii="Times New Roman" w:hAnsi="Times New Roman"/>
          <w:sz w:val="28"/>
          <w:szCs w:val="28"/>
          <w:lang w:val="uk-UA"/>
        </w:rPr>
        <w:t>.</w:t>
      </w:r>
      <w:r w:rsidRPr="00BC73BB">
        <w:rPr>
          <w:rFonts w:ascii="Times New Roman" w:hAnsi="Times New Roman"/>
          <w:caps/>
          <w:sz w:val="28"/>
          <w:szCs w:val="28"/>
          <w:lang w:val="uk-UA"/>
        </w:rPr>
        <w:t>М</w:t>
      </w:r>
      <w:r w:rsidRPr="00BC73BB">
        <w:rPr>
          <w:rFonts w:ascii="Times New Roman" w:hAnsi="Times New Roman"/>
          <w:sz w:val="28"/>
          <w:szCs w:val="28"/>
          <w:lang w:val="uk-UA"/>
        </w:rPr>
        <w:t xml:space="preserve">еждунар. невролог. журн. </w:t>
      </w:r>
      <w:r w:rsidRPr="00BC73BB">
        <w:rPr>
          <w:rFonts w:ascii="Times New Roman" w:hAnsi="Times New Roman"/>
          <w:caps/>
          <w:sz w:val="28"/>
          <w:szCs w:val="28"/>
          <w:lang w:val="uk-UA"/>
        </w:rPr>
        <w:t xml:space="preserve">2019. </w:t>
      </w:r>
      <w:r w:rsidRPr="00BC73BB">
        <w:rPr>
          <w:rFonts w:ascii="Times New Roman" w:hAnsi="Times New Roman"/>
          <w:sz w:val="28"/>
          <w:szCs w:val="28"/>
          <w:lang w:val="uk-UA"/>
        </w:rPr>
        <w:t xml:space="preserve">№ </w:t>
      </w:r>
      <w:r w:rsidRPr="00BC73BB">
        <w:rPr>
          <w:rFonts w:ascii="Times New Roman" w:hAnsi="Times New Roman"/>
          <w:caps/>
          <w:sz w:val="28"/>
          <w:szCs w:val="28"/>
          <w:lang w:val="uk-UA"/>
        </w:rPr>
        <w:t>6 (108). С. 46</w:t>
      </w:r>
      <w:r w:rsidRPr="00BC73BB">
        <w:rPr>
          <w:rFonts w:ascii="Times New Roman" w:hAnsi="Times New Roman"/>
          <w:sz w:val="28"/>
          <w:szCs w:val="28"/>
          <w:lang w:val="uk-UA"/>
        </w:rPr>
        <w:t>–</w:t>
      </w:r>
      <w:r w:rsidRPr="00BC73BB">
        <w:rPr>
          <w:rFonts w:ascii="Times New Roman" w:hAnsi="Times New Roman"/>
          <w:caps/>
          <w:sz w:val="28"/>
          <w:szCs w:val="28"/>
          <w:lang w:val="uk-UA"/>
        </w:rPr>
        <w:t>51.</w:t>
      </w:r>
    </w:p>
    <w:p w:rsidR="001F0A71" w:rsidRPr="00BC73BB" w:rsidRDefault="001F0A71" w:rsidP="00E1086D">
      <w:pPr>
        <w:pStyle w:val="a5"/>
        <w:tabs>
          <w:tab w:val="left" w:pos="851"/>
          <w:tab w:val="left" w:pos="993"/>
        </w:tabs>
        <w:spacing w:after="0" w:line="360" w:lineRule="auto"/>
        <w:ind w:left="0" w:firstLine="284"/>
        <w:jc w:val="both"/>
        <w:textAlignment w:val="baseline"/>
        <w:rPr>
          <w:rFonts w:ascii="Times New Roman" w:hAnsi="Times New Roman"/>
          <w:sz w:val="28"/>
          <w:szCs w:val="28"/>
          <w:lang w:val="en-US"/>
        </w:rPr>
      </w:pPr>
      <w:r w:rsidRPr="00BC73BB">
        <w:rPr>
          <w:rFonts w:ascii="Times New Roman" w:hAnsi="Times New Roman"/>
          <w:sz w:val="28"/>
          <w:szCs w:val="28"/>
          <w:lang w:val="uk-UA"/>
        </w:rPr>
        <w:t>173</w:t>
      </w:r>
      <w:r w:rsidRPr="00086D89">
        <w:rPr>
          <w:rFonts w:ascii="Times New Roman" w:hAnsi="Times New Roman"/>
          <w:sz w:val="28"/>
          <w:szCs w:val="28"/>
          <w:lang w:val="uk-UA"/>
        </w:rPr>
        <w:t>.Бурчинський С.Г. Нейропротекція при гостромуішемічномуінсульті: віднейрофармакології до фармакотерапії</w:t>
      </w:r>
      <w:r w:rsidRPr="00BC73BB">
        <w:rPr>
          <w:rFonts w:ascii="Times New Roman" w:hAnsi="Times New Roman"/>
          <w:sz w:val="28"/>
          <w:szCs w:val="28"/>
          <w:lang w:val="uk-UA"/>
        </w:rPr>
        <w:t>.</w:t>
      </w:r>
      <w:r w:rsidRPr="00BC73BB">
        <w:rPr>
          <w:rFonts w:ascii="Times New Roman" w:hAnsi="Times New Roman"/>
          <w:caps/>
          <w:sz w:val="28"/>
          <w:szCs w:val="28"/>
          <w:lang w:val="uk-UA"/>
        </w:rPr>
        <w:t>М</w:t>
      </w:r>
      <w:r w:rsidRPr="00BC73BB">
        <w:rPr>
          <w:rFonts w:ascii="Times New Roman" w:hAnsi="Times New Roman"/>
          <w:sz w:val="28"/>
          <w:szCs w:val="28"/>
          <w:lang w:val="uk-UA"/>
        </w:rPr>
        <w:t xml:space="preserve">еждунар. невролог. журн. </w:t>
      </w:r>
      <w:r w:rsidRPr="00BC73BB">
        <w:rPr>
          <w:rFonts w:ascii="Times New Roman" w:hAnsi="Times New Roman"/>
          <w:caps/>
          <w:sz w:val="28"/>
          <w:szCs w:val="28"/>
          <w:lang w:val="uk-UA"/>
        </w:rPr>
        <w:t xml:space="preserve">2019. </w:t>
      </w:r>
      <w:r w:rsidRPr="00BC73BB">
        <w:rPr>
          <w:rFonts w:ascii="Times New Roman" w:hAnsi="Times New Roman"/>
          <w:sz w:val="28"/>
          <w:szCs w:val="28"/>
          <w:lang w:val="uk-UA"/>
        </w:rPr>
        <w:t xml:space="preserve">№ </w:t>
      </w:r>
      <w:r w:rsidRPr="00BC73BB">
        <w:rPr>
          <w:rFonts w:ascii="Times New Roman" w:hAnsi="Times New Roman"/>
          <w:caps/>
          <w:sz w:val="28"/>
          <w:szCs w:val="28"/>
          <w:lang w:val="uk-UA"/>
        </w:rPr>
        <w:t>6 (108). С. 59</w:t>
      </w:r>
      <w:r w:rsidRPr="00BC73BB">
        <w:rPr>
          <w:rFonts w:ascii="Times New Roman" w:hAnsi="Times New Roman"/>
          <w:sz w:val="28"/>
          <w:szCs w:val="28"/>
          <w:lang w:val="uk-UA"/>
        </w:rPr>
        <w:t>–</w:t>
      </w:r>
      <w:r w:rsidRPr="00BC73BB">
        <w:rPr>
          <w:rFonts w:ascii="Times New Roman" w:hAnsi="Times New Roman"/>
          <w:caps/>
          <w:sz w:val="28"/>
          <w:szCs w:val="28"/>
          <w:lang w:val="uk-UA"/>
        </w:rPr>
        <w:t>63.</w:t>
      </w:r>
    </w:p>
    <w:p w:rsidR="001F0A71" w:rsidRPr="00B065B6"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uk-UA"/>
        </w:rPr>
        <w:t>174</w:t>
      </w:r>
      <w:r w:rsidRPr="00BC73BB">
        <w:rPr>
          <w:rFonts w:ascii="Times New Roman" w:hAnsi="Times New Roman"/>
          <w:sz w:val="28"/>
          <w:szCs w:val="28"/>
          <w:lang w:val="en-US"/>
        </w:rPr>
        <w:t>.Preventing cerebral vasospasm after aneurysmal subarachnoid hemorrhage with aggressive cisternal clot removal and nicardipine</w:t>
      </w:r>
      <w:r w:rsidRPr="00BC73BB">
        <w:rPr>
          <w:rFonts w:ascii="Times New Roman" w:hAnsi="Times New Roman"/>
          <w:sz w:val="28"/>
          <w:szCs w:val="28"/>
          <w:lang w:val="uk-UA"/>
        </w:rPr>
        <w:t xml:space="preserve"> /</w:t>
      </w:r>
      <w:r w:rsidRPr="00BC73BB">
        <w:rPr>
          <w:rFonts w:ascii="Times New Roman" w:hAnsi="Times New Roman"/>
          <w:sz w:val="28"/>
          <w:szCs w:val="28"/>
          <w:lang w:val="en-US"/>
        </w:rPr>
        <w:t xml:space="preserve"> N</w:t>
      </w:r>
      <w:r w:rsidRPr="00BC73BB">
        <w:rPr>
          <w:rFonts w:ascii="Times New Roman" w:hAnsi="Times New Roman"/>
          <w:sz w:val="28"/>
          <w:szCs w:val="28"/>
          <w:lang w:val="uk-UA"/>
        </w:rPr>
        <w:t>.</w:t>
      </w:r>
      <w:r w:rsidRPr="00BC73BB">
        <w:rPr>
          <w:rFonts w:ascii="Times New Roman" w:hAnsi="Times New Roman"/>
          <w:sz w:val="28"/>
          <w:szCs w:val="28"/>
          <w:lang w:val="en-US"/>
        </w:rPr>
        <w:t xml:space="preserve"> Ota et al. World Neurosurg. 2017</w:t>
      </w:r>
      <w:r w:rsidRPr="00BC73BB">
        <w:rPr>
          <w:rFonts w:ascii="Times New Roman" w:hAnsi="Times New Roman"/>
          <w:sz w:val="28"/>
          <w:szCs w:val="28"/>
          <w:lang w:val="uk-UA"/>
        </w:rPr>
        <w:t xml:space="preserve">. </w:t>
      </w:r>
      <w:r w:rsidRPr="00BC73BB">
        <w:rPr>
          <w:rFonts w:ascii="Times New Roman" w:hAnsi="Times New Roman"/>
          <w:sz w:val="28"/>
          <w:szCs w:val="28"/>
          <w:lang w:val="en-US"/>
        </w:rPr>
        <w:t>Vol. 107</w:t>
      </w:r>
      <w:r w:rsidRPr="00BC73BB">
        <w:rPr>
          <w:rFonts w:ascii="Times New Roman" w:hAnsi="Times New Roman"/>
          <w:sz w:val="28"/>
          <w:szCs w:val="28"/>
          <w:lang w:val="uk-UA"/>
        </w:rPr>
        <w:t xml:space="preserve">. Р. </w:t>
      </w:r>
      <w:r w:rsidRPr="00B065B6">
        <w:rPr>
          <w:rFonts w:ascii="Times New Roman" w:hAnsi="Times New Roman"/>
          <w:sz w:val="28"/>
          <w:szCs w:val="28"/>
          <w:lang w:val="en-US"/>
        </w:rPr>
        <w:t>630–</w:t>
      </w:r>
      <w:r w:rsidRPr="00BC73BB">
        <w:rPr>
          <w:rFonts w:ascii="Times New Roman" w:hAnsi="Times New Roman"/>
          <w:sz w:val="28"/>
          <w:szCs w:val="28"/>
          <w:lang w:val="uk-UA"/>
        </w:rPr>
        <w:t>6</w:t>
      </w:r>
      <w:r w:rsidRPr="00B065B6">
        <w:rPr>
          <w:rFonts w:ascii="Times New Roman" w:hAnsi="Times New Roman"/>
          <w:sz w:val="28"/>
          <w:szCs w:val="28"/>
          <w:lang w:val="en-US"/>
        </w:rPr>
        <w:t>40.</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175</w:t>
      </w:r>
      <w:r w:rsidRPr="00B065B6">
        <w:rPr>
          <w:rFonts w:ascii="Times New Roman" w:hAnsi="Times New Roman"/>
          <w:sz w:val="28"/>
          <w:szCs w:val="28"/>
          <w:lang w:val="en-US"/>
        </w:rPr>
        <w:t>.</w:t>
      </w:r>
      <w:r w:rsidRPr="00BC73BB">
        <w:rPr>
          <w:rFonts w:ascii="Times New Roman" w:hAnsi="Times New Roman"/>
          <w:sz w:val="28"/>
          <w:szCs w:val="28"/>
          <w:lang w:val="uk-UA"/>
        </w:rPr>
        <w:t>Ходаківський О. А., Степанюк Г. І. Оцінка фармакотерапевтичної ефективності двох похідних адамантану (сполук ЮК-1 та ЮК-4) за динамікою показника летальності на моделі гострого порушення мозкового кровообігу у монгольських піщанок. Вісн. Вінницького НМУ. 2011. Т. 15, № 1. С. 47–50.</w:t>
      </w:r>
    </w:p>
    <w:p w:rsidR="001F0A71" w:rsidRPr="00BC73BB" w:rsidRDefault="001F0A71" w:rsidP="00E1086D">
      <w:pPr>
        <w:pStyle w:val="a5"/>
        <w:shd w:val="clear" w:color="auto" w:fill="FFFFFF"/>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176. Жабоєдова Н. В. Характеристика показників центральної гемодинаміки, внутрішньочерепного тиску та мікроциркуляції в капілярах кори головного мозку у щурів із різними підтипами геморагічного інсульту та тлі інфузії розчинів Адемолу або німодиіну. </w:t>
      </w:r>
      <w:r w:rsidRPr="00BC73BB">
        <w:rPr>
          <w:rFonts w:ascii="Times New Roman" w:hAnsi="Times New Roman"/>
          <w:sz w:val="28"/>
          <w:szCs w:val="28"/>
          <w:lang w:val="en-US"/>
        </w:rPr>
        <w:t>Biomed</w:t>
      </w:r>
      <w:r w:rsidRPr="00BC73BB">
        <w:rPr>
          <w:rFonts w:ascii="Times New Roman" w:hAnsi="Times New Roman"/>
          <w:sz w:val="28"/>
          <w:szCs w:val="28"/>
          <w:lang w:val="uk-UA"/>
        </w:rPr>
        <w:t>. в</w:t>
      </w:r>
      <w:r w:rsidRPr="00BC73BB">
        <w:rPr>
          <w:rFonts w:ascii="Times New Roman" w:hAnsi="Times New Roman"/>
          <w:sz w:val="28"/>
          <w:szCs w:val="28"/>
          <w:lang w:val="en-US"/>
        </w:rPr>
        <w:t>iosoc</w:t>
      </w:r>
      <w:r w:rsidRPr="00BC73BB">
        <w:rPr>
          <w:rFonts w:ascii="Times New Roman" w:hAnsi="Times New Roman"/>
          <w:sz w:val="28"/>
          <w:szCs w:val="28"/>
          <w:lang w:val="uk-UA"/>
        </w:rPr>
        <w:t xml:space="preserve">. </w:t>
      </w:r>
      <w:r w:rsidRPr="00BC73BB">
        <w:rPr>
          <w:rFonts w:ascii="Times New Roman" w:hAnsi="Times New Roman"/>
          <w:sz w:val="28"/>
          <w:szCs w:val="28"/>
          <w:lang w:val="en-US"/>
        </w:rPr>
        <w:t>anthropol</w:t>
      </w:r>
      <w:r w:rsidRPr="00BC73BB">
        <w:rPr>
          <w:rFonts w:ascii="Times New Roman" w:hAnsi="Times New Roman"/>
          <w:sz w:val="28"/>
          <w:szCs w:val="28"/>
          <w:lang w:val="uk-UA"/>
        </w:rPr>
        <w:t xml:space="preserve">. 2016. </w:t>
      </w:r>
      <w:r w:rsidRPr="00BC73BB">
        <w:rPr>
          <w:rFonts w:ascii="Times New Roman" w:hAnsi="Times New Roman"/>
          <w:sz w:val="28"/>
          <w:szCs w:val="28"/>
          <w:lang w:val="en-US"/>
        </w:rPr>
        <w:t>Vol</w:t>
      </w:r>
      <w:r w:rsidRPr="00BC73BB">
        <w:rPr>
          <w:rFonts w:ascii="Times New Roman" w:hAnsi="Times New Roman"/>
          <w:sz w:val="28"/>
          <w:szCs w:val="28"/>
          <w:lang w:val="uk-UA"/>
        </w:rPr>
        <w:t>. 27. Р. 62–67.</w:t>
      </w:r>
    </w:p>
    <w:p w:rsidR="001F0A71" w:rsidRPr="00BC73BB" w:rsidRDefault="001F0A71" w:rsidP="00E1086D">
      <w:pPr>
        <w:pStyle w:val="a5"/>
        <w:tabs>
          <w:tab w:val="left" w:pos="851"/>
          <w:tab w:val="left" w:pos="993"/>
        </w:tabs>
        <w:spacing w:after="0" w:line="360" w:lineRule="auto"/>
        <w:ind w:left="0" w:firstLine="284"/>
        <w:jc w:val="both"/>
        <w:rPr>
          <w:rStyle w:val="citation-doi"/>
          <w:rFonts w:ascii="Times New Roman" w:hAnsi="Times New Roman"/>
          <w:sz w:val="28"/>
          <w:szCs w:val="28"/>
          <w:lang w:val="uk-UA"/>
        </w:rPr>
      </w:pPr>
      <w:r w:rsidRPr="00BC73BB">
        <w:rPr>
          <w:rStyle w:val="comma"/>
          <w:rFonts w:ascii="Times New Roman" w:hAnsi="Times New Roman"/>
          <w:sz w:val="28"/>
          <w:szCs w:val="28"/>
          <w:lang w:val="uk-UA"/>
        </w:rPr>
        <w:t>177</w:t>
      </w:r>
      <w:r w:rsidRPr="00BC73BB">
        <w:rPr>
          <w:rStyle w:val="comma"/>
          <w:rFonts w:ascii="Times New Roman" w:hAnsi="Times New Roman"/>
          <w:sz w:val="28"/>
          <w:szCs w:val="28"/>
          <w:lang w:val="en-US"/>
        </w:rPr>
        <w:t>.</w:t>
      </w:r>
      <w:r w:rsidRPr="00BC73BB">
        <w:rPr>
          <w:rFonts w:ascii="Times New Roman" w:hAnsi="Times New Roman"/>
          <w:sz w:val="28"/>
          <w:szCs w:val="28"/>
          <w:lang w:val="en-US"/>
        </w:rPr>
        <w:t>Effectsofpreadmissionbeta</w:t>
      </w:r>
      <w:r w:rsidRPr="00BC73BB">
        <w:rPr>
          <w:rFonts w:ascii="Times New Roman" w:hAnsi="Times New Roman"/>
          <w:sz w:val="28"/>
          <w:szCs w:val="28"/>
          <w:lang w:val="uk-UA"/>
        </w:rPr>
        <w:t>-</w:t>
      </w:r>
      <w:r w:rsidRPr="00BC73BB">
        <w:rPr>
          <w:rFonts w:ascii="Times New Roman" w:hAnsi="Times New Roman"/>
          <w:sz w:val="28"/>
          <w:szCs w:val="28"/>
          <w:lang w:val="en-US"/>
        </w:rPr>
        <w:t>blockersonneurogenicstunnedmyocardiumafteraneurysmalsubarachnoidhemorrhage</w:t>
      </w:r>
      <w:r w:rsidRPr="00BC73BB">
        <w:rPr>
          <w:rFonts w:ascii="Times New Roman" w:hAnsi="Times New Roman"/>
          <w:sz w:val="28"/>
          <w:szCs w:val="28"/>
          <w:lang w:val="uk-UA"/>
        </w:rPr>
        <w:t xml:space="preserve">: а </w:t>
      </w:r>
      <w:r w:rsidRPr="00BC73BB">
        <w:rPr>
          <w:rFonts w:ascii="Times New Roman" w:hAnsi="Times New Roman"/>
          <w:sz w:val="28"/>
          <w:szCs w:val="28"/>
          <w:lang w:val="en-US"/>
        </w:rPr>
        <w:t>meta</w:t>
      </w:r>
      <w:r w:rsidRPr="00BC73BB">
        <w:rPr>
          <w:rFonts w:ascii="Times New Roman" w:hAnsi="Times New Roman"/>
          <w:sz w:val="28"/>
          <w:szCs w:val="28"/>
          <w:lang w:val="uk-UA"/>
        </w:rPr>
        <w:t xml:space="preserve">- </w:t>
      </w:r>
      <w:r w:rsidRPr="00BC73BB">
        <w:rPr>
          <w:rFonts w:ascii="Times New Roman" w:hAnsi="Times New Roman"/>
          <w:sz w:val="28"/>
          <w:szCs w:val="28"/>
          <w:lang w:val="en-US"/>
        </w:rPr>
        <w:t>analysis</w:t>
      </w:r>
      <w:r w:rsidRPr="00BC73BB">
        <w:rPr>
          <w:rFonts w:ascii="Times New Roman" w:hAnsi="Times New Roman"/>
          <w:sz w:val="28"/>
          <w:szCs w:val="28"/>
          <w:lang w:val="uk-UA"/>
        </w:rPr>
        <w:t xml:space="preserve"> /</w:t>
      </w:r>
      <w:hyperlink r:id="rId85" w:history="1">
        <w:r w:rsidRPr="00BC73BB">
          <w:rPr>
            <w:rStyle w:val="ac"/>
            <w:rFonts w:ascii="Times New Roman" w:eastAsiaTheme="majorEastAsia" w:hAnsi="Times New Roman"/>
            <w:color w:val="auto"/>
            <w:sz w:val="28"/>
            <w:szCs w:val="28"/>
            <w:u w:val="none"/>
            <w:lang w:val="en-US"/>
          </w:rPr>
          <w:t>H</w:t>
        </w:r>
        <w:r w:rsidRPr="00BC73BB">
          <w:rPr>
            <w:rStyle w:val="ac"/>
            <w:rFonts w:ascii="Times New Roman" w:eastAsiaTheme="majorEastAsia" w:hAnsi="Times New Roman"/>
            <w:color w:val="auto"/>
            <w:sz w:val="28"/>
            <w:szCs w:val="28"/>
            <w:u w:val="none"/>
            <w:lang w:val="uk-UA"/>
          </w:rPr>
          <w:t>.</w:t>
        </w:r>
        <w:r w:rsidRPr="00BC73BB">
          <w:rPr>
            <w:rStyle w:val="ac"/>
            <w:rFonts w:ascii="Times New Roman" w:eastAsiaTheme="majorEastAsia" w:hAnsi="Times New Roman"/>
            <w:color w:val="auto"/>
            <w:sz w:val="28"/>
            <w:szCs w:val="28"/>
            <w:u w:val="none"/>
            <w:lang w:val="en-US"/>
          </w:rPr>
          <w:t xml:space="preserve"> Luo</w:t>
        </w:r>
      </w:hyperlink>
      <w:r w:rsidRPr="00BC73BB">
        <w:rPr>
          <w:rFonts w:ascii="Times New Roman" w:hAnsi="Times New Roman"/>
          <w:sz w:val="28"/>
          <w:szCs w:val="28"/>
          <w:lang w:val="en-US"/>
        </w:rPr>
        <w:t>et al</w:t>
      </w:r>
      <w:r w:rsidRPr="00BC73BB">
        <w:rPr>
          <w:rStyle w:val="ac"/>
          <w:rFonts w:ascii="Times New Roman" w:eastAsiaTheme="majorEastAsia" w:hAnsi="Times New Roman"/>
          <w:color w:val="auto"/>
          <w:sz w:val="28"/>
          <w:szCs w:val="28"/>
          <w:u w:val="none"/>
          <w:lang w:val="uk-UA"/>
        </w:rPr>
        <w:t>.</w:t>
      </w:r>
      <w:r w:rsidRPr="00BC73BB">
        <w:rPr>
          <w:rFonts w:ascii="Times New Roman" w:hAnsi="Times New Roman"/>
          <w:sz w:val="28"/>
          <w:szCs w:val="28"/>
          <w:lang w:val="en-US"/>
        </w:rPr>
        <w:t>Clin</w:t>
      </w:r>
      <w:r w:rsidRPr="00BC73BB">
        <w:rPr>
          <w:rFonts w:ascii="Times New Roman" w:hAnsi="Times New Roman"/>
          <w:sz w:val="28"/>
          <w:szCs w:val="28"/>
          <w:lang w:val="uk-UA"/>
        </w:rPr>
        <w:t xml:space="preserve">. </w:t>
      </w:r>
      <w:r w:rsidRPr="00BC73BB">
        <w:rPr>
          <w:rFonts w:ascii="Times New Roman" w:hAnsi="Times New Roman"/>
          <w:sz w:val="28"/>
          <w:szCs w:val="28"/>
          <w:lang w:val="en-US"/>
        </w:rPr>
        <w:t>Neurol</w:t>
      </w:r>
      <w:r w:rsidRPr="00BC73BB">
        <w:rPr>
          <w:rFonts w:ascii="Times New Roman" w:hAnsi="Times New Roman"/>
          <w:sz w:val="28"/>
          <w:szCs w:val="28"/>
          <w:lang w:val="uk-UA"/>
        </w:rPr>
        <w:t xml:space="preserve">. </w:t>
      </w:r>
      <w:r w:rsidRPr="00BC73BB">
        <w:rPr>
          <w:rFonts w:ascii="Times New Roman" w:hAnsi="Times New Roman"/>
          <w:sz w:val="28"/>
          <w:szCs w:val="28"/>
          <w:lang w:val="en-US"/>
        </w:rPr>
        <w:t>Neurosurg</w:t>
      </w:r>
      <w:r w:rsidRPr="00BC73BB">
        <w:rPr>
          <w:rFonts w:ascii="Times New Roman" w:hAnsi="Times New Roman"/>
          <w:sz w:val="28"/>
          <w:szCs w:val="28"/>
          <w:lang w:val="uk-UA"/>
        </w:rPr>
        <w:t xml:space="preserve">. </w:t>
      </w:r>
      <w:r w:rsidRPr="00BC73BB">
        <w:rPr>
          <w:rStyle w:val="cit"/>
          <w:rFonts w:ascii="Times New Roman" w:eastAsiaTheme="majorEastAsia" w:hAnsi="Times New Roman"/>
          <w:sz w:val="28"/>
          <w:szCs w:val="28"/>
          <w:lang w:val="uk-UA"/>
        </w:rPr>
        <w:t xml:space="preserve">2017. </w:t>
      </w:r>
      <w:r w:rsidRPr="00BC73BB">
        <w:rPr>
          <w:rFonts w:ascii="Times New Roman" w:hAnsi="Times New Roman"/>
          <w:sz w:val="28"/>
          <w:szCs w:val="28"/>
          <w:lang w:val="en-US"/>
        </w:rPr>
        <w:t xml:space="preserve">Vol. </w:t>
      </w:r>
      <w:r w:rsidRPr="00BC73BB">
        <w:rPr>
          <w:rStyle w:val="cit"/>
          <w:rFonts w:ascii="Times New Roman" w:eastAsiaTheme="majorEastAsia" w:hAnsi="Times New Roman"/>
          <w:sz w:val="28"/>
          <w:szCs w:val="28"/>
          <w:lang w:val="uk-UA"/>
        </w:rPr>
        <w:t>158. Р. 77</w:t>
      </w:r>
      <w:r w:rsidRPr="00BC73BB">
        <w:rPr>
          <w:rFonts w:ascii="Times New Roman" w:hAnsi="Times New Roman"/>
          <w:sz w:val="28"/>
          <w:szCs w:val="28"/>
          <w:lang w:val="uk-UA"/>
        </w:rPr>
        <w:t>–</w:t>
      </w:r>
      <w:r w:rsidRPr="00BC73BB">
        <w:rPr>
          <w:rStyle w:val="cit"/>
          <w:rFonts w:ascii="Times New Roman" w:eastAsiaTheme="majorEastAsia" w:hAnsi="Times New Roman"/>
          <w:sz w:val="28"/>
          <w:szCs w:val="28"/>
          <w:lang w:val="uk-UA"/>
        </w:rPr>
        <w:t>81.</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uk-UA"/>
        </w:rPr>
        <w:t>178</w:t>
      </w:r>
      <w:r w:rsidRPr="00BC73BB">
        <w:rPr>
          <w:rFonts w:ascii="Times New Roman" w:hAnsi="Times New Roman"/>
          <w:sz w:val="28"/>
          <w:szCs w:val="28"/>
          <w:lang w:val="en-US"/>
        </w:rPr>
        <w:t>.</w:t>
      </w:r>
      <w:r w:rsidRPr="00BC73BB">
        <w:rPr>
          <w:rFonts w:ascii="Times New Roman" w:hAnsi="Times New Roman"/>
          <w:sz w:val="28"/>
          <w:szCs w:val="28"/>
          <w:lang w:val="uk-UA"/>
        </w:rPr>
        <w:t xml:space="preserve">Beta-blockertherapyisnotassociatedwithmortalityafterintracerebralhemorrhage / M. </w:t>
      </w:r>
      <w:hyperlink r:id="rId86" w:history="1">
        <w:r w:rsidRPr="00BC73BB">
          <w:rPr>
            <w:rFonts w:ascii="Times New Roman" w:hAnsi="Times New Roman"/>
            <w:sz w:val="28"/>
            <w:szCs w:val="28"/>
            <w:lang w:val="uk-UA"/>
          </w:rPr>
          <w:t>Sykora</w:t>
        </w:r>
      </w:hyperlink>
      <w:r w:rsidRPr="00BC73BB">
        <w:rPr>
          <w:rFonts w:ascii="Times New Roman" w:hAnsi="Times New Roman"/>
          <w:sz w:val="28"/>
          <w:szCs w:val="28"/>
          <w:lang w:val="en-US"/>
        </w:rPr>
        <w:t>et al</w:t>
      </w:r>
      <w:r w:rsidRPr="00BC73BB">
        <w:rPr>
          <w:rStyle w:val="ac"/>
          <w:rFonts w:ascii="Times New Roman" w:eastAsiaTheme="majorEastAsia" w:hAnsi="Times New Roman"/>
          <w:color w:val="auto"/>
          <w:sz w:val="28"/>
          <w:szCs w:val="28"/>
          <w:u w:val="none"/>
          <w:lang w:val="uk-UA"/>
        </w:rPr>
        <w:t>.</w:t>
      </w:r>
      <w:r w:rsidRPr="00BC73BB">
        <w:rPr>
          <w:rFonts w:ascii="Times New Roman" w:hAnsi="Times New Roman"/>
          <w:sz w:val="28"/>
          <w:szCs w:val="28"/>
          <w:lang w:val="uk-UA"/>
        </w:rPr>
        <w:t xml:space="preserve">ActaNeurol. Scand. 2018. </w:t>
      </w:r>
      <w:r w:rsidRPr="00BC73BB">
        <w:rPr>
          <w:rFonts w:ascii="Times New Roman" w:hAnsi="Times New Roman"/>
          <w:sz w:val="28"/>
          <w:szCs w:val="28"/>
          <w:lang w:val="en-US"/>
        </w:rPr>
        <w:t xml:space="preserve">Vol. </w:t>
      </w:r>
      <w:r w:rsidRPr="00BC73BB">
        <w:rPr>
          <w:rFonts w:ascii="Times New Roman" w:hAnsi="Times New Roman"/>
          <w:sz w:val="28"/>
          <w:szCs w:val="28"/>
          <w:lang w:val="uk-UA"/>
        </w:rPr>
        <w:t>137 (1). Р. 105–108.</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en-US"/>
        </w:rPr>
        <w:lastRenderedPageBreak/>
        <w:t xml:space="preserve">179.Pre admission treatment with Beta-blockers in hypertensive patients with acute stroke and 3-month outcome-Data from a national stroke registry </w:t>
      </w:r>
      <w:r w:rsidRPr="00BC73BB">
        <w:rPr>
          <w:rFonts w:ascii="Times New Roman" w:hAnsi="Times New Roman"/>
          <w:sz w:val="28"/>
          <w:szCs w:val="28"/>
          <w:lang w:val="uk-UA"/>
        </w:rPr>
        <w:t xml:space="preserve">/ </w:t>
      </w:r>
      <w:r w:rsidRPr="00BC73BB">
        <w:rPr>
          <w:rFonts w:ascii="Times New Roman" w:hAnsi="Times New Roman"/>
          <w:sz w:val="28"/>
          <w:szCs w:val="28"/>
          <w:lang w:val="en-US"/>
        </w:rPr>
        <w:t xml:space="preserve">Y.J </w:t>
      </w:r>
      <w:hyperlink r:id="rId87" w:history="1">
        <w:r w:rsidRPr="00BC73BB">
          <w:rPr>
            <w:rFonts w:ascii="Times New Roman" w:hAnsi="Times New Roman"/>
            <w:sz w:val="28"/>
            <w:szCs w:val="28"/>
            <w:lang w:val="en-US"/>
          </w:rPr>
          <w:t>Eizenberg</w:t>
        </w:r>
      </w:hyperlink>
      <w:r w:rsidRPr="00BC73BB">
        <w:rPr>
          <w:rFonts w:ascii="Times New Roman" w:hAnsi="Times New Roman"/>
          <w:sz w:val="28"/>
          <w:szCs w:val="28"/>
          <w:lang w:val="en-US"/>
        </w:rPr>
        <w:t xml:space="preserve"> et al</w:t>
      </w:r>
      <w:r w:rsidRPr="00BC73BB">
        <w:rPr>
          <w:rStyle w:val="ac"/>
          <w:rFonts w:ascii="Times New Roman" w:eastAsiaTheme="majorEastAsia" w:hAnsi="Times New Roman"/>
          <w:color w:val="auto"/>
          <w:sz w:val="28"/>
          <w:szCs w:val="28"/>
          <w:u w:val="none"/>
          <w:lang w:val="uk-UA"/>
        </w:rPr>
        <w:t>.</w:t>
      </w:r>
      <w:r w:rsidRPr="00BC73BB">
        <w:rPr>
          <w:rFonts w:ascii="Times New Roman" w:hAnsi="Times New Roman"/>
          <w:sz w:val="28"/>
          <w:szCs w:val="28"/>
          <w:lang w:val="en-US"/>
        </w:rPr>
        <w:t>Clin</w:t>
      </w:r>
      <w:r w:rsidRPr="00BC73BB">
        <w:rPr>
          <w:rFonts w:ascii="Times New Roman" w:hAnsi="Times New Roman"/>
          <w:sz w:val="28"/>
          <w:szCs w:val="28"/>
          <w:lang w:val="uk-UA"/>
        </w:rPr>
        <w:t>.</w:t>
      </w:r>
      <w:r w:rsidRPr="00BC73BB">
        <w:rPr>
          <w:rFonts w:ascii="Times New Roman" w:hAnsi="Times New Roman"/>
          <w:sz w:val="28"/>
          <w:szCs w:val="28"/>
          <w:lang w:val="en-US"/>
        </w:rPr>
        <w:t>Hypertens (Greenwich)</w:t>
      </w:r>
      <w:r w:rsidRPr="00BC73BB">
        <w:rPr>
          <w:rStyle w:val="period"/>
          <w:sz w:val="28"/>
          <w:szCs w:val="28"/>
          <w:lang w:val="en-US"/>
        </w:rPr>
        <w:t>.</w:t>
      </w:r>
      <w:r w:rsidRPr="00BC73BB">
        <w:rPr>
          <w:rStyle w:val="cit"/>
          <w:rFonts w:ascii="Times New Roman" w:eastAsiaTheme="majorEastAsia" w:hAnsi="Times New Roman"/>
          <w:sz w:val="28"/>
          <w:szCs w:val="28"/>
          <w:lang w:val="en-US"/>
        </w:rPr>
        <w:t>2018</w:t>
      </w:r>
      <w:r w:rsidRPr="00BC73BB">
        <w:rPr>
          <w:rStyle w:val="cit"/>
          <w:rFonts w:ascii="Times New Roman" w:eastAsiaTheme="majorEastAsia" w:hAnsi="Times New Roman"/>
          <w:sz w:val="28"/>
          <w:szCs w:val="28"/>
          <w:lang w:val="uk-UA"/>
        </w:rPr>
        <w:t>.</w:t>
      </w:r>
      <w:r w:rsidRPr="00BC73BB">
        <w:rPr>
          <w:rFonts w:ascii="Times New Roman" w:hAnsi="Times New Roman"/>
          <w:sz w:val="28"/>
          <w:szCs w:val="28"/>
          <w:lang w:val="en-US"/>
        </w:rPr>
        <w:t xml:space="preserve">Vol. </w:t>
      </w:r>
      <w:r w:rsidRPr="00BC73BB">
        <w:rPr>
          <w:rStyle w:val="cit"/>
          <w:rFonts w:ascii="Times New Roman" w:eastAsiaTheme="majorEastAsia" w:hAnsi="Times New Roman"/>
          <w:sz w:val="28"/>
          <w:szCs w:val="28"/>
          <w:lang w:val="en-US"/>
        </w:rPr>
        <w:t>20(3)</w:t>
      </w:r>
      <w:r w:rsidRPr="00BC73BB">
        <w:rPr>
          <w:rStyle w:val="cit"/>
          <w:rFonts w:ascii="Times New Roman" w:eastAsiaTheme="majorEastAsia" w:hAnsi="Times New Roman"/>
          <w:sz w:val="28"/>
          <w:szCs w:val="28"/>
          <w:lang w:val="uk-UA"/>
        </w:rPr>
        <w:t xml:space="preserve">. Р. </w:t>
      </w:r>
      <w:r w:rsidRPr="00BC73BB">
        <w:rPr>
          <w:rStyle w:val="cit"/>
          <w:rFonts w:ascii="Times New Roman" w:eastAsiaTheme="majorEastAsia" w:hAnsi="Times New Roman"/>
          <w:sz w:val="28"/>
          <w:szCs w:val="28"/>
          <w:lang w:val="en-US"/>
        </w:rPr>
        <w:t>568</w:t>
      </w:r>
      <w:r w:rsidRPr="00BC73BB">
        <w:rPr>
          <w:rFonts w:ascii="Times New Roman" w:hAnsi="Times New Roman"/>
          <w:sz w:val="28"/>
          <w:szCs w:val="28"/>
          <w:lang w:val="uk-UA"/>
        </w:rPr>
        <w:t>–</w:t>
      </w:r>
      <w:r w:rsidRPr="00BC73BB">
        <w:rPr>
          <w:rStyle w:val="cit"/>
          <w:rFonts w:ascii="Times New Roman" w:eastAsiaTheme="majorEastAsia" w:hAnsi="Times New Roman"/>
          <w:sz w:val="28"/>
          <w:szCs w:val="28"/>
          <w:lang w:val="en-US"/>
        </w:rPr>
        <w:t>572</w:t>
      </w:r>
      <w:r w:rsidRPr="00BC73BB">
        <w:rPr>
          <w:rStyle w:val="citation-doi"/>
          <w:rFonts w:ascii="Times New Roman" w:hAnsi="Times New Roman"/>
          <w:sz w:val="28"/>
          <w:szCs w:val="28"/>
          <w:lang w:val="en-US"/>
        </w:rPr>
        <w:t>.</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uk-UA"/>
        </w:rPr>
        <w:t>180</w:t>
      </w:r>
      <w:r w:rsidRPr="00BC73BB">
        <w:rPr>
          <w:rFonts w:ascii="Times New Roman" w:hAnsi="Times New Roman"/>
          <w:sz w:val="28"/>
          <w:szCs w:val="28"/>
          <w:lang w:val="en-US"/>
        </w:rPr>
        <w:t xml:space="preserve">.Beta-blocker therapy and impact on outcome after aneurysmal subarachnoid hemorrhage: a cohort study </w:t>
      </w:r>
      <w:r w:rsidRPr="00BC73BB">
        <w:rPr>
          <w:rFonts w:ascii="Times New Roman" w:hAnsi="Times New Roman"/>
          <w:sz w:val="28"/>
          <w:szCs w:val="28"/>
          <w:lang w:val="uk-UA"/>
        </w:rPr>
        <w:t xml:space="preserve">/ </w:t>
      </w:r>
      <w:r w:rsidRPr="00BC73BB">
        <w:rPr>
          <w:rFonts w:ascii="Times New Roman" w:hAnsi="Times New Roman"/>
          <w:sz w:val="28"/>
          <w:szCs w:val="28"/>
          <w:lang w:val="en-US"/>
        </w:rPr>
        <w:t>N.</w:t>
      </w:r>
      <w:hyperlink r:id="rId88" w:history="1">
        <w:r w:rsidRPr="00BC73BB">
          <w:rPr>
            <w:rFonts w:ascii="Times New Roman" w:hAnsi="Times New Roman"/>
            <w:sz w:val="28"/>
            <w:szCs w:val="28"/>
            <w:lang w:val="en-US"/>
          </w:rPr>
          <w:t>Chalouhi</w:t>
        </w:r>
      </w:hyperlink>
      <w:r w:rsidRPr="00BC73BB">
        <w:rPr>
          <w:rFonts w:ascii="Times New Roman" w:hAnsi="Times New Roman"/>
          <w:sz w:val="28"/>
          <w:szCs w:val="28"/>
          <w:lang w:val="en-US"/>
        </w:rPr>
        <w:t xml:space="preserve"> J</w:t>
      </w:r>
      <w:r w:rsidRPr="00BC73BB">
        <w:rPr>
          <w:rFonts w:ascii="Times New Roman" w:hAnsi="Times New Roman"/>
          <w:sz w:val="28"/>
          <w:szCs w:val="28"/>
          <w:lang w:val="uk-UA"/>
        </w:rPr>
        <w:t>.</w:t>
      </w:r>
      <w:r w:rsidRPr="00BC73BB">
        <w:rPr>
          <w:rFonts w:ascii="Times New Roman" w:hAnsi="Times New Roman"/>
          <w:sz w:val="28"/>
          <w:szCs w:val="28"/>
          <w:lang w:val="en-US"/>
        </w:rPr>
        <w:t>Neurosurg</w:t>
      </w:r>
      <w:r w:rsidRPr="00BC73BB">
        <w:rPr>
          <w:rStyle w:val="period"/>
          <w:sz w:val="28"/>
          <w:szCs w:val="28"/>
          <w:lang w:val="en-US"/>
        </w:rPr>
        <w:t>.</w:t>
      </w:r>
      <w:r w:rsidRPr="00BC73BB">
        <w:rPr>
          <w:rStyle w:val="cit"/>
          <w:rFonts w:ascii="Times New Roman" w:eastAsiaTheme="majorEastAsia" w:hAnsi="Times New Roman"/>
          <w:sz w:val="28"/>
          <w:szCs w:val="28"/>
          <w:lang w:val="en-US"/>
        </w:rPr>
        <w:t>2016</w:t>
      </w:r>
      <w:r w:rsidRPr="00BC73BB">
        <w:rPr>
          <w:rStyle w:val="cit"/>
          <w:rFonts w:ascii="Times New Roman" w:eastAsiaTheme="majorEastAsia" w:hAnsi="Times New Roman"/>
          <w:sz w:val="28"/>
          <w:szCs w:val="28"/>
          <w:lang w:val="uk-UA"/>
        </w:rPr>
        <w:t>.</w:t>
      </w:r>
      <w:r w:rsidRPr="00BC73BB">
        <w:rPr>
          <w:rFonts w:ascii="Times New Roman" w:hAnsi="Times New Roman"/>
          <w:sz w:val="28"/>
          <w:szCs w:val="28"/>
          <w:lang w:val="en-US"/>
        </w:rPr>
        <w:t xml:space="preserve">Vol. </w:t>
      </w:r>
      <w:r w:rsidRPr="00BC73BB">
        <w:rPr>
          <w:rStyle w:val="cit"/>
          <w:rFonts w:ascii="Times New Roman" w:eastAsiaTheme="majorEastAsia" w:hAnsi="Times New Roman"/>
          <w:sz w:val="28"/>
          <w:szCs w:val="28"/>
          <w:lang w:val="en-US"/>
        </w:rPr>
        <w:t>125(3)</w:t>
      </w:r>
      <w:r w:rsidRPr="00BC73BB">
        <w:rPr>
          <w:rStyle w:val="cit"/>
          <w:rFonts w:ascii="Times New Roman" w:eastAsiaTheme="majorEastAsia" w:hAnsi="Times New Roman"/>
          <w:sz w:val="28"/>
          <w:szCs w:val="28"/>
          <w:lang w:val="uk-UA"/>
        </w:rPr>
        <w:t xml:space="preserve">. Р. </w:t>
      </w:r>
      <w:r w:rsidRPr="00BC73BB">
        <w:rPr>
          <w:rStyle w:val="cit"/>
          <w:rFonts w:ascii="Times New Roman" w:eastAsiaTheme="majorEastAsia" w:hAnsi="Times New Roman"/>
          <w:sz w:val="28"/>
          <w:szCs w:val="28"/>
          <w:lang w:val="en-US"/>
        </w:rPr>
        <w:t>730</w:t>
      </w:r>
      <w:r w:rsidRPr="00BC73BB">
        <w:rPr>
          <w:rFonts w:ascii="Times New Roman" w:hAnsi="Times New Roman"/>
          <w:sz w:val="28"/>
          <w:szCs w:val="28"/>
          <w:lang w:val="uk-UA"/>
        </w:rPr>
        <w:t>–73</w:t>
      </w:r>
      <w:r w:rsidRPr="00BC73BB">
        <w:rPr>
          <w:rStyle w:val="cit"/>
          <w:rFonts w:ascii="Times New Roman" w:eastAsiaTheme="majorEastAsia" w:hAnsi="Times New Roman"/>
          <w:sz w:val="28"/>
          <w:szCs w:val="28"/>
          <w:lang w:val="en-US"/>
        </w:rPr>
        <w:t>6</w:t>
      </w:r>
      <w:r w:rsidRPr="00BC73BB">
        <w:rPr>
          <w:rStyle w:val="citation-doi"/>
          <w:rFonts w:ascii="Times New Roman" w:hAnsi="Times New Roman"/>
          <w:sz w:val="28"/>
          <w:szCs w:val="28"/>
          <w:lang w:val="en-US"/>
        </w:rPr>
        <w:t>.</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shd w:val="clear" w:color="auto" w:fill="FFFFFF"/>
          <w:lang w:val="en-US"/>
        </w:rPr>
      </w:pPr>
      <w:r w:rsidRPr="00BC73BB">
        <w:rPr>
          <w:rFonts w:ascii="Times New Roman" w:hAnsi="Times New Roman"/>
          <w:sz w:val="28"/>
          <w:szCs w:val="28"/>
          <w:shd w:val="clear" w:color="auto" w:fill="FFFFFF"/>
          <w:lang w:val="uk-UA"/>
        </w:rPr>
        <w:t>181</w:t>
      </w:r>
      <w:r w:rsidRPr="00BC73BB">
        <w:rPr>
          <w:rFonts w:ascii="Times New Roman" w:hAnsi="Times New Roman"/>
          <w:sz w:val="28"/>
          <w:szCs w:val="28"/>
          <w:shd w:val="clear" w:color="auto" w:fill="FFFFFF"/>
          <w:lang w:val="en-US"/>
        </w:rPr>
        <w:t xml:space="preserve">.Beta-Blockade in Aneurysmal Subarachnoid Hemorrhage: a Systematic Review and Meta-Analysis / A. V. Ramesh </w:t>
      </w:r>
      <w:r w:rsidRPr="00BC73BB">
        <w:rPr>
          <w:rFonts w:ascii="Times New Roman" w:hAnsi="Times New Roman"/>
          <w:sz w:val="28"/>
          <w:szCs w:val="28"/>
          <w:lang w:val="en-US"/>
        </w:rPr>
        <w:t>et al.</w:t>
      </w:r>
      <w:r w:rsidRPr="00BC73BB">
        <w:rPr>
          <w:rFonts w:ascii="Times New Roman" w:hAnsi="Times New Roman"/>
          <w:sz w:val="28"/>
          <w:szCs w:val="28"/>
          <w:shd w:val="clear" w:color="auto" w:fill="FFFFFF"/>
          <w:lang w:val="en-US"/>
        </w:rPr>
        <w:t>Neurocrit. Care. URL: 10.1007/s12028-020-00915-5. (</w:t>
      </w:r>
      <w:r w:rsidRPr="00BC73BB">
        <w:rPr>
          <w:rFonts w:ascii="Times New Roman" w:hAnsi="Times New Roman"/>
          <w:sz w:val="28"/>
          <w:szCs w:val="28"/>
          <w:shd w:val="clear" w:color="auto" w:fill="FFFFFF"/>
          <w:lang w:val="uk-UA"/>
        </w:rPr>
        <w:t>дата звернення 05.09.2020).</w:t>
      </w:r>
    </w:p>
    <w:p w:rsidR="001F0A71" w:rsidRPr="00086D89" w:rsidRDefault="001F0A71" w:rsidP="00E1086D">
      <w:pPr>
        <w:pStyle w:val="a5"/>
        <w:tabs>
          <w:tab w:val="left" w:pos="851"/>
          <w:tab w:val="left" w:pos="993"/>
        </w:tabs>
        <w:spacing w:after="0" w:line="360" w:lineRule="auto"/>
        <w:ind w:left="0" w:firstLine="284"/>
        <w:jc w:val="both"/>
        <w:rPr>
          <w:rFonts w:ascii="Times New Roman" w:hAnsi="Times New Roman"/>
          <w:sz w:val="28"/>
          <w:szCs w:val="28"/>
          <w:shd w:val="clear" w:color="auto" w:fill="FFFFFF"/>
          <w:lang w:val="uk-UA"/>
        </w:rPr>
      </w:pPr>
      <w:r w:rsidRPr="00BC73BB">
        <w:rPr>
          <w:rFonts w:ascii="Times New Roman" w:hAnsi="Times New Roman"/>
          <w:sz w:val="28"/>
          <w:szCs w:val="28"/>
          <w:shd w:val="clear" w:color="auto" w:fill="FFFFFF"/>
          <w:lang w:val="uk-UA"/>
        </w:rPr>
        <w:t>182</w:t>
      </w:r>
      <w:r w:rsidRPr="00BC73BB">
        <w:rPr>
          <w:rFonts w:ascii="Times New Roman" w:hAnsi="Times New Roman"/>
          <w:sz w:val="28"/>
          <w:szCs w:val="28"/>
          <w:shd w:val="clear" w:color="auto" w:fill="FFFFFF"/>
          <w:lang w:val="en-US"/>
        </w:rPr>
        <w:t xml:space="preserve">.The adrenergic receptor antagonist carvedilol interacts with serotonin 2A receptors both in vitro and in vivo </w:t>
      </w:r>
      <w:r w:rsidRPr="00BC73BB">
        <w:rPr>
          <w:rFonts w:ascii="Times New Roman" w:hAnsi="Times New Roman"/>
          <w:sz w:val="28"/>
          <w:szCs w:val="28"/>
          <w:shd w:val="clear" w:color="auto" w:fill="FFFFFF"/>
          <w:lang w:val="uk-UA"/>
        </w:rPr>
        <w:t xml:space="preserve">/ </w:t>
      </w:r>
      <w:r w:rsidRPr="00BC73BB">
        <w:rPr>
          <w:rFonts w:ascii="Times New Roman" w:hAnsi="Times New Roman"/>
          <w:sz w:val="28"/>
          <w:szCs w:val="28"/>
          <w:shd w:val="clear" w:color="auto" w:fill="FFFFFF"/>
          <w:lang w:val="en-US"/>
        </w:rPr>
        <w:t>K</w:t>
      </w:r>
      <w:r w:rsidRPr="00BC73BB">
        <w:rPr>
          <w:rFonts w:ascii="Times New Roman" w:hAnsi="Times New Roman"/>
          <w:sz w:val="28"/>
          <w:szCs w:val="28"/>
          <w:shd w:val="clear" w:color="auto" w:fill="FFFFFF"/>
          <w:lang w:val="uk-UA"/>
        </w:rPr>
        <w:t xml:space="preserve">. </w:t>
      </w:r>
      <w:r w:rsidRPr="00BC73BB">
        <w:rPr>
          <w:rFonts w:ascii="Times New Roman" w:hAnsi="Times New Roman"/>
          <w:sz w:val="28"/>
          <w:szCs w:val="28"/>
          <w:shd w:val="clear" w:color="auto" w:fill="FFFFFF"/>
          <w:lang w:val="en-US"/>
        </w:rPr>
        <w:t>S</w:t>
      </w:r>
      <w:r w:rsidRPr="00BC73BB">
        <w:rPr>
          <w:rFonts w:ascii="Times New Roman" w:hAnsi="Times New Roman"/>
          <w:sz w:val="28"/>
          <w:szCs w:val="28"/>
          <w:shd w:val="clear" w:color="auto" w:fill="FFFFFF"/>
          <w:lang w:val="uk-UA"/>
        </w:rPr>
        <w:t xml:space="preserve">. </w:t>
      </w:r>
      <w:r w:rsidRPr="00BC73BB">
        <w:rPr>
          <w:rFonts w:ascii="Times New Roman" w:hAnsi="Times New Roman"/>
          <w:sz w:val="28"/>
          <w:szCs w:val="28"/>
          <w:shd w:val="clear" w:color="auto" w:fill="FFFFFF"/>
          <w:lang w:val="en-US"/>
        </w:rPr>
        <w:t>Murnane</w:t>
      </w:r>
      <w:r w:rsidRPr="00BC73BB">
        <w:rPr>
          <w:rFonts w:ascii="Times New Roman" w:hAnsi="Times New Roman"/>
          <w:sz w:val="28"/>
          <w:szCs w:val="28"/>
          <w:lang w:val="uk-UA"/>
        </w:rPr>
        <w:t xml:space="preserve">etal. </w:t>
      </w:r>
      <w:r w:rsidRPr="00BC73BB">
        <w:rPr>
          <w:rFonts w:ascii="Times New Roman" w:hAnsi="Times New Roman"/>
          <w:sz w:val="28"/>
          <w:szCs w:val="28"/>
          <w:shd w:val="clear" w:color="auto" w:fill="FFFFFF"/>
          <w:lang w:val="en-US"/>
        </w:rPr>
        <w:t>Pharmacol</w:t>
      </w:r>
      <w:r w:rsidRPr="00BC73BB">
        <w:rPr>
          <w:rFonts w:ascii="Times New Roman" w:hAnsi="Times New Roman"/>
          <w:sz w:val="28"/>
          <w:szCs w:val="28"/>
          <w:shd w:val="clear" w:color="auto" w:fill="FFFFFF"/>
          <w:lang w:val="uk-UA"/>
        </w:rPr>
        <w:t>.</w:t>
      </w:r>
      <w:r w:rsidRPr="00BC73BB">
        <w:rPr>
          <w:rFonts w:ascii="Times New Roman" w:hAnsi="Times New Roman"/>
          <w:sz w:val="28"/>
          <w:szCs w:val="28"/>
          <w:shd w:val="clear" w:color="auto" w:fill="FFFFFF"/>
          <w:lang w:val="en-US"/>
        </w:rPr>
        <w:t>Biochem</w:t>
      </w:r>
      <w:r w:rsidRPr="00BC73BB">
        <w:rPr>
          <w:rFonts w:ascii="Times New Roman" w:hAnsi="Times New Roman"/>
          <w:sz w:val="28"/>
          <w:szCs w:val="28"/>
          <w:shd w:val="clear" w:color="auto" w:fill="FFFFFF"/>
          <w:lang w:val="uk-UA"/>
        </w:rPr>
        <w:t>.</w:t>
      </w:r>
      <w:r w:rsidRPr="00BC73BB">
        <w:rPr>
          <w:rFonts w:ascii="Times New Roman" w:hAnsi="Times New Roman"/>
          <w:sz w:val="28"/>
          <w:szCs w:val="28"/>
          <w:shd w:val="clear" w:color="auto" w:fill="FFFFFF"/>
          <w:lang w:val="en-US"/>
        </w:rPr>
        <w:t>Behavior</w:t>
      </w:r>
      <w:r w:rsidRPr="00086D89">
        <w:rPr>
          <w:rFonts w:ascii="Times New Roman" w:hAnsi="Times New Roman"/>
          <w:sz w:val="28"/>
          <w:szCs w:val="28"/>
          <w:shd w:val="clear" w:color="auto" w:fill="FFFFFF"/>
          <w:lang w:val="uk-UA"/>
        </w:rPr>
        <w:t xml:space="preserve">. </w:t>
      </w:r>
      <w:r w:rsidRPr="00BC73BB">
        <w:rPr>
          <w:rFonts w:ascii="Times New Roman" w:hAnsi="Times New Roman"/>
          <w:sz w:val="28"/>
          <w:szCs w:val="28"/>
          <w:shd w:val="clear" w:color="auto" w:fill="FFFFFF"/>
          <w:lang w:val="en-US"/>
        </w:rPr>
        <w:t>URL</w:t>
      </w:r>
      <w:r w:rsidRPr="00086D89">
        <w:rPr>
          <w:rFonts w:ascii="Times New Roman" w:hAnsi="Times New Roman"/>
          <w:sz w:val="28"/>
          <w:szCs w:val="28"/>
          <w:shd w:val="clear" w:color="auto" w:fill="FFFFFF"/>
          <w:lang w:val="uk-UA"/>
        </w:rPr>
        <w:t>: 10.1016/</w:t>
      </w:r>
      <w:r w:rsidRPr="00BC73BB">
        <w:rPr>
          <w:rFonts w:ascii="Times New Roman" w:hAnsi="Times New Roman"/>
          <w:sz w:val="28"/>
          <w:szCs w:val="28"/>
          <w:shd w:val="clear" w:color="auto" w:fill="FFFFFF"/>
          <w:lang w:val="en-US"/>
        </w:rPr>
        <w:t>j</w:t>
      </w:r>
      <w:r w:rsidRPr="00086D89">
        <w:rPr>
          <w:rFonts w:ascii="Times New Roman" w:hAnsi="Times New Roman"/>
          <w:sz w:val="28"/>
          <w:szCs w:val="28"/>
          <w:shd w:val="clear" w:color="auto" w:fill="FFFFFF"/>
          <w:lang w:val="uk-UA"/>
        </w:rPr>
        <w:t>.</w:t>
      </w:r>
      <w:r w:rsidRPr="00BC73BB">
        <w:rPr>
          <w:rFonts w:ascii="Times New Roman" w:hAnsi="Times New Roman"/>
          <w:sz w:val="28"/>
          <w:szCs w:val="28"/>
          <w:shd w:val="clear" w:color="auto" w:fill="FFFFFF"/>
          <w:lang w:val="en-US"/>
        </w:rPr>
        <w:t>pbb</w:t>
      </w:r>
      <w:r w:rsidRPr="00086D89">
        <w:rPr>
          <w:rFonts w:ascii="Times New Roman" w:hAnsi="Times New Roman"/>
          <w:sz w:val="28"/>
          <w:szCs w:val="28"/>
          <w:shd w:val="clear" w:color="auto" w:fill="FFFFFF"/>
          <w:lang w:val="uk-UA"/>
        </w:rPr>
        <w:t>.2019.04.003</w:t>
      </w:r>
      <w:r w:rsidRPr="00BC73BB">
        <w:rPr>
          <w:rFonts w:ascii="Times New Roman" w:hAnsi="Times New Roman"/>
          <w:sz w:val="28"/>
          <w:szCs w:val="28"/>
          <w:shd w:val="clear" w:color="auto" w:fill="FFFFFF"/>
          <w:lang w:val="uk-UA"/>
        </w:rPr>
        <w:t xml:space="preserve">. </w:t>
      </w:r>
      <w:r w:rsidRPr="00086D89">
        <w:rPr>
          <w:rFonts w:ascii="Times New Roman" w:hAnsi="Times New Roman"/>
          <w:sz w:val="28"/>
          <w:szCs w:val="28"/>
          <w:shd w:val="clear" w:color="auto" w:fill="FFFFFF"/>
          <w:lang w:val="uk-UA"/>
        </w:rPr>
        <w:t>(</w:t>
      </w:r>
      <w:r w:rsidRPr="00BC73BB">
        <w:rPr>
          <w:rFonts w:ascii="Times New Roman" w:hAnsi="Times New Roman"/>
          <w:sz w:val="28"/>
          <w:szCs w:val="28"/>
          <w:shd w:val="clear" w:color="auto" w:fill="FFFFFF"/>
          <w:lang w:val="uk-UA"/>
        </w:rPr>
        <w:t>дата звернення 05.09.2020).</w:t>
      </w:r>
    </w:p>
    <w:p w:rsidR="001F0A71" w:rsidRPr="00BC73BB" w:rsidRDefault="001F0A71" w:rsidP="00E1086D">
      <w:pPr>
        <w:pStyle w:val="a5"/>
        <w:widowControl w:val="0"/>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183</w:t>
      </w:r>
      <w:r w:rsidRPr="00086D89">
        <w:rPr>
          <w:rFonts w:ascii="Times New Roman" w:hAnsi="Times New Roman"/>
          <w:sz w:val="28"/>
          <w:szCs w:val="28"/>
          <w:lang w:val="uk-UA"/>
        </w:rPr>
        <w:t xml:space="preserve">.Белобородова Н.В. Дмитриева И.Б., Черневская Е.А. Диагностическая значимость белка </w:t>
      </w:r>
      <w:r w:rsidRPr="00BC73BB">
        <w:rPr>
          <w:rFonts w:ascii="Times New Roman" w:hAnsi="Times New Roman"/>
          <w:sz w:val="28"/>
          <w:szCs w:val="28"/>
          <w:lang w:val="en-US"/>
        </w:rPr>
        <w:t>S</w:t>
      </w:r>
      <w:r w:rsidRPr="00086D89">
        <w:rPr>
          <w:rFonts w:ascii="Times New Roman" w:hAnsi="Times New Roman"/>
          <w:sz w:val="28"/>
          <w:szCs w:val="28"/>
          <w:lang w:val="uk-UA"/>
        </w:rPr>
        <w:t>100</w:t>
      </w:r>
      <w:r w:rsidRPr="00BC73BB">
        <w:rPr>
          <w:rFonts w:ascii="Times New Roman" w:hAnsi="Times New Roman"/>
          <w:sz w:val="28"/>
          <w:szCs w:val="28"/>
          <w:lang w:val="en-US"/>
        </w:rPr>
        <w:t>B</w:t>
      </w:r>
      <w:r w:rsidRPr="00086D89">
        <w:rPr>
          <w:rFonts w:ascii="Times New Roman" w:hAnsi="Times New Roman"/>
          <w:sz w:val="28"/>
          <w:szCs w:val="28"/>
          <w:lang w:val="uk-UA"/>
        </w:rPr>
        <w:t xml:space="preserve"> при критических состояниях. </w:t>
      </w:r>
      <w:r w:rsidRPr="00BC73BB">
        <w:rPr>
          <w:rFonts w:ascii="Times New Roman" w:hAnsi="Times New Roman"/>
          <w:sz w:val="28"/>
          <w:szCs w:val="28"/>
        </w:rPr>
        <w:t>Общ</w:t>
      </w:r>
      <w:r w:rsidRPr="00BC73BB">
        <w:rPr>
          <w:rFonts w:ascii="Times New Roman" w:hAnsi="Times New Roman"/>
          <w:sz w:val="28"/>
          <w:szCs w:val="28"/>
          <w:lang w:val="uk-UA"/>
        </w:rPr>
        <w:t>.р</w:t>
      </w:r>
      <w:r w:rsidRPr="00BC73BB">
        <w:rPr>
          <w:rFonts w:ascii="Times New Roman" w:hAnsi="Times New Roman"/>
          <w:sz w:val="28"/>
          <w:szCs w:val="28"/>
        </w:rPr>
        <w:t>еанимат</w:t>
      </w:r>
      <w:r w:rsidRPr="00BC73BB">
        <w:rPr>
          <w:rFonts w:ascii="Times New Roman" w:hAnsi="Times New Roman"/>
          <w:sz w:val="28"/>
          <w:szCs w:val="28"/>
          <w:lang w:val="uk-UA"/>
        </w:rPr>
        <w:t>.</w:t>
      </w:r>
      <w:r w:rsidRPr="00BC73BB">
        <w:rPr>
          <w:rFonts w:ascii="Times New Roman" w:hAnsi="Times New Roman"/>
          <w:sz w:val="28"/>
          <w:szCs w:val="28"/>
        </w:rPr>
        <w:t xml:space="preserve"> 2011. T. 7, № 6. C. 72</w:t>
      </w:r>
      <w:r w:rsidRPr="00BC73BB">
        <w:rPr>
          <w:rFonts w:ascii="Times New Roman" w:hAnsi="Times New Roman"/>
          <w:sz w:val="28"/>
          <w:szCs w:val="28"/>
          <w:lang w:val="uk-UA"/>
        </w:rPr>
        <w:t>–</w:t>
      </w:r>
      <w:r w:rsidRPr="00BC73BB">
        <w:rPr>
          <w:rFonts w:ascii="Times New Roman" w:hAnsi="Times New Roman"/>
          <w:sz w:val="28"/>
          <w:szCs w:val="28"/>
        </w:rPr>
        <w:t>76.</w:t>
      </w:r>
    </w:p>
    <w:p w:rsidR="001F0A71" w:rsidRPr="00BC73BB" w:rsidRDefault="001F0A71" w:rsidP="00E1086D">
      <w:pPr>
        <w:pStyle w:val="a5"/>
        <w:widowControl w:val="0"/>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184</w:t>
      </w:r>
      <w:r w:rsidRPr="00BC73BB">
        <w:rPr>
          <w:rFonts w:ascii="Times New Roman" w:hAnsi="Times New Roman"/>
          <w:sz w:val="28"/>
          <w:szCs w:val="28"/>
        </w:rPr>
        <w:t>.Прогностическое значение белка S100, нейронспецифическойэнолазы, эндотелина-1 в остром периоде тяжелой черепно-мозговой травмы</w:t>
      </w:r>
      <w:r w:rsidRPr="00BC73BB">
        <w:rPr>
          <w:rFonts w:ascii="Times New Roman" w:hAnsi="Times New Roman"/>
          <w:sz w:val="28"/>
          <w:szCs w:val="28"/>
          <w:lang w:val="uk-UA"/>
        </w:rPr>
        <w:t xml:space="preserve"> / </w:t>
      </w:r>
      <w:r w:rsidRPr="00BC73BB">
        <w:rPr>
          <w:rFonts w:ascii="Times New Roman" w:hAnsi="Times New Roman"/>
          <w:sz w:val="28"/>
          <w:szCs w:val="28"/>
        </w:rPr>
        <w:t>Н. Н.Епифанцева</w:t>
      </w:r>
      <w:r w:rsidRPr="00BC73BB">
        <w:rPr>
          <w:rFonts w:ascii="Times New Roman" w:hAnsi="Times New Roman"/>
          <w:sz w:val="28"/>
          <w:szCs w:val="28"/>
          <w:lang w:val="uk-UA"/>
        </w:rPr>
        <w:t xml:space="preserve"> и др.</w:t>
      </w:r>
      <w:r w:rsidRPr="00BC73BB">
        <w:rPr>
          <w:rFonts w:ascii="Times New Roman" w:hAnsi="Times New Roman"/>
          <w:sz w:val="28"/>
          <w:szCs w:val="28"/>
        </w:rPr>
        <w:t xml:space="preserve"> Мед</w:t>
      </w:r>
      <w:r w:rsidRPr="00BC73BB">
        <w:rPr>
          <w:rFonts w:ascii="Times New Roman" w:hAnsi="Times New Roman"/>
          <w:sz w:val="28"/>
          <w:szCs w:val="28"/>
          <w:lang w:val="uk-UA"/>
        </w:rPr>
        <w:t>.</w:t>
      </w:r>
      <w:r w:rsidRPr="00BC73BB">
        <w:rPr>
          <w:rFonts w:ascii="Times New Roman" w:hAnsi="Times New Roman"/>
          <w:sz w:val="28"/>
          <w:szCs w:val="28"/>
        </w:rPr>
        <w:t xml:space="preserve"> неотложных состояний. 2013. №3 (50). С. 85–90.</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 xml:space="preserve">185. Оцінка ефективності експериментальної терапії геморагічного інсульту промисловим зразком ампульного розчину 1-адамантилетилокси-3-морфоліно-2-пропанолу гідрохлориду ("Адемол") за активністю маркера нейродеструкції нейрон-специфічної енолази / Н. В. Жабоєдова и др. Фармація </w:t>
      </w:r>
      <w:r w:rsidRPr="00BC73BB">
        <w:rPr>
          <w:rFonts w:ascii="Times New Roman" w:hAnsi="Times New Roman"/>
          <w:sz w:val="28"/>
          <w:szCs w:val="28"/>
        </w:rPr>
        <w:t>XXI</w:t>
      </w:r>
      <w:r w:rsidRPr="00BC73BB">
        <w:rPr>
          <w:rFonts w:ascii="Times New Roman" w:hAnsi="Times New Roman"/>
          <w:sz w:val="28"/>
          <w:szCs w:val="28"/>
          <w:lang w:val="uk-UA"/>
        </w:rPr>
        <w:t xml:space="preserve"> століття: тенденції та перспективи: матеріали </w:t>
      </w:r>
      <w:r w:rsidRPr="00BC73BB">
        <w:rPr>
          <w:rFonts w:ascii="Times New Roman" w:hAnsi="Times New Roman"/>
          <w:sz w:val="28"/>
          <w:szCs w:val="28"/>
        </w:rPr>
        <w:t>V</w:t>
      </w:r>
      <w:r w:rsidRPr="00BC73BB">
        <w:rPr>
          <w:rFonts w:ascii="Times New Roman" w:hAnsi="Times New Roman"/>
          <w:sz w:val="28"/>
          <w:szCs w:val="28"/>
          <w:lang w:val="uk-UA"/>
        </w:rPr>
        <w:t>ІІІ Нац. з’їзду фармацевтів України (м.</w:t>
      </w:r>
      <w:r w:rsidR="00A20F02">
        <w:rPr>
          <w:rFonts w:ascii="Times New Roman" w:hAnsi="Times New Roman"/>
          <w:sz w:val="28"/>
          <w:szCs w:val="28"/>
          <w:lang w:val="uk-UA"/>
        </w:rPr>
        <w:t> </w:t>
      </w:r>
      <w:r w:rsidRPr="00BC73BB">
        <w:rPr>
          <w:rFonts w:ascii="Times New Roman" w:hAnsi="Times New Roman"/>
          <w:sz w:val="28"/>
          <w:szCs w:val="28"/>
          <w:lang w:val="uk-UA"/>
        </w:rPr>
        <w:t>Харків, 13</w:t>
      </w:r>
      <w:r w:rsidRPr="00BC73BB">
        <w:rPr>
          <w:rFonts w:ascii="Times New Roman" w:hAnsi="Times New Roman"/>
          <w:bCs/>
          <w:sz w:val="28"/>
          <w:szCs w:val="28"/>
          <w:lang w:val="uk-UA"/>
        </w:rPr>
        <w:t>–</w:t>
      </w:r>
      <w:r w:rsidRPr="00BC73BB">
        <w:rPr>
          <w:rFonts w:ascii="Times New Roman" w:hAnsi="Times New Roman"/>
          <w:sz w:val="28"/>
          <w:szCs w:val="28"/>
          <w:lang w:val="uk-UA"/>
        </w:rPr>
        <w:t>16 вересня 2016 р.): у 2 т. Т. 2 // МОЗУ, Нац. Фармац. ун-т; ред. кол.: В. П. Черних (голова) та ін.; уклад.: С. Ю. Данильченко та ін. Харків; НФаУ, 2016. С. 120-121.</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bookmarkStart w:id="44" w:name="_Hlk50200971"/>
      <w:r w:rsidRPr="00BC73BB">
        <w:rPr>
          <w:rFonts w:ascii="Times New Roman" w:hAnsi="Times New Roman"/>
          <w:sz w:val="28"/>
          <w:szCs w:val="28"/>
          <w:lang w:val="uk-UA"/>
        </w:rPr>
        <w:t xml:space="preserve">186. Жабоєдова Н. В., Ходаківський О. А. Порівняльна оцінка церебропротекторної дії промислового зразка ампульного розчину 1-адамантилетилокси-3-морфоліно-2-пропанолу гідрохлориду ("Адемол"), амантадину та магнію сульфату при субарахноїдальному крововиливі у щурів за активністю нейрон-специфічної енолази. Фундаментальні та клінічні аспекти фармакології: тези </w:t>
      </w:r>
      <w:r w:rsidRPr="00BC73BB">
        <w:rPr>
          <w:rFonts w:ascii="Times New Roman" w:hAnsi="Times New Roman"/>
          <w:sz w:val="28"/>
          <w:szCs w:val="28"/>
          <w:lang w:val="uk-UA"/>
        </w:rPr>
        <w:lastRenderedPageBreak/>
        <w:t>доп. Всеукр. наук.-практ. конфер. з з між нар. уч., пам’яті проф. В. В. Дунаєва (Запоріжжя, 24</w:t>
      </w:r>
      <w:r w:rsidRPr="00BC73BB">
        <w:rPr>
          <w:rFonts w:ascii="Times New Roman" w:hAnsi="Times New Roman"/>
          <w:bCs/>
          <w:sz w:val="28"/>
          <w:szCs w:val="28"/>
          <w:lang w:val="uk-UA"/>
        </w:rPr>
        <w:t>–</w:t>
      </w:r>
      <w:r w:rsidRPr="00BC73BB">
        <w:rPr>
          <w:rFonts w:ascii="Times New Roman" w:hAnsi="Times New Roman"/>
          <w:sz w:val="28"/>
          <w:szCs w:val="28"/>
          <w:lang w:val="uk-UA"/>
        </w:rPr>
        <w:t>25 листопада 2016 р.). Запоріжжя: Запоріжський ДМУ, 2016. С. 43.</w:t>
      </w:r>
      <w:bookmarkEnd w:id="44"/>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187. Застосування комплексного патогенетично-обґрунтованого підходу до вивчення ефективності потенційних цитопротекторів при ішеміко-гіпоксичному, токсичному або травматичному ураженні серця, печінки, нирок, органа зору, центральної та периферичної нервової системи (нерви щелепно-лицьової ділянки, тощо) / Ходаківський О. А. та ін. Сучасні аспекти клінічної фармакології на тлі досягнень доказової медицини України : матеріали ІХ Всеукр. наук.-практ. конфер. з міжнар. уч. (Вінниця, 16–17 листопада 2017 р.). Вінниця: Нілан-ЛТД, 2017. С.269-273.</w:t>
      </w:r>
    </w:p>
    <w:p w:rsidR="001F0A71" w:rsidRPr="00BC73BB" w:rsidRDefault="001F0A71" w:rsidP="00E1086D">
      <w:pPr>
        <w:pStyle w:val="a5"/>
        <w:widowControl w:val="0"/>
        <w:shd w:val="clear" w:color="auto" w:fill="FFFFFF"/>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188. Жабоєдова Н. В., Ходаківський О. А. Оцінка імуноферментрних та протоково-цитометричних маркерів церебропротекторної дії адемолувумовах експериментального геморагічного інсульту за активністю процесів нейроцитолізу, нейроапоптозу та нейропроліферації. Механізми розвитку патологічних процесів і хвороб та їхня  фармакологічна корекція : матеріали ІІ наук.-практ. інтернет-конфер. з між нар. уч. (Харків, 21 листопада 2019). Харків: НФаУ, 2019. С. 153–154.</w:t>
      </w:r>
    </w:p>
    <w:p w:rsidR="001F0A71" w:rsidRPr="00BC73BB" w:rsidRDefault="001F0A71" w:rsidP="00E1086D">
      <w:pPr>
        <w:pStyle w:val="a5"/>
        <w:widowControl w:val="0"/>
        <w:shd w:val="clear" w:color="auto" w:fill="FFFFFF"/>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189</w:t>
      </w:r>
      <w:r w:rsidRPr="00BC73BB">
        <w:rPr>
          <w:rFonts w:ascii="Times New Roman" w:hAnsi="Times New Roman"/>
          <w:sz w:val="28"/>
          <w:szCs w:val="28"/>
        </w:rPr>
        <w:t>.</w:t>
      </w:r>
      <w:r w:rsidRPr="00BC73BB">
        <w:rPr>
          <w:rFonts w:ascii="Times New Roman" w:hAnsi="Times New Roman"/>
          <w:sz w:val="28"/>
          <w:szCs w:val="28"/>
          <w:lang w:val="uk-UA"/>
        </w:rPr>
        <w:t>Рациональнаянейропротекция : монография / И. Ф. Беленичев и др. Донецк: Изд. домЗаславский, 2009. 262 с.</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uk-UA"/>
        </w:rPr>
        <w:t>190</w:t>
      </w:r>
      <w:r w:rsidRPr="00086D89">
        <w:rPr>
          <w:rFonts w:ascii="Times New Roman" w:hAnsi="Times New Roman"/>
          <w:sz w:val="28"/>
          <w:szCs w:val="28"/>
          <w:lang w:val="uk-UA"/>
        </w:rPr>
        <w:t>.</w:t>
      </w:r>
      <w:r w:rsidRPr="00BC73BB">
        <w:rPr>
          <w:rFonts w:ascii="Times New Roman" w:hAnsi="Times New Roman"/>
          <w:sz w:val="28"/>
          <w:szCs w:val="28"/>
          <w:lang w:val="en-US"/>
        </w:rPr>
        <w:t>WaringP</w:t>
      </w:r>
      <w:r w:rsidRPr="00BC73BB">
        <w:rPr>
          <w:rFonts w:ascii="Times New Roman" w:hAnsi="Times New Roman"/>
          <w:sz w:val="28"/>
          <w:szCs w:val="28"/>
          <w:lang w:val="uk-UA"/>
        </w:rPr>
        <w:t xml:space="preserve">., </w:t>
      </w:r>
      <w:r w:rsidRPr="00BC73BB">
        <w:rPr>
          <w:rFonts w:ascii="Times New Roman" w:hAnsi="Times New Roman"/>
          <w:sz w:val="28"/>
          <w:szCs w:val="28"/>
          <w:lang w:val="en-US"/>
        </w:rPr>
        <w:t>Kos</w:t>
      </w:r>
      <w:r w:rsidRPr="00086D89">
        <w:rPr>
          <w:rFonts w:ascii="Times New Roman" w:hAnsi="Times New Roman"/>
          <w:sz w:val="28"/>
          <w:szCs w:val="28"/>
          <w:lang w:val="uk-UA"/>
        </w:rPr>
        <w:t xml:space="preserve"> </w:t>
      </w:r>
      <w:r w:rsidRPr="00BC73BB">
        <w:rPr>
          <w:rFonts w:ascii="Times New Roman" w:hAnsi="Times New Roman"/>
          <w:sz w:val="28"/>
          <w:szCs w:val="28"/>
          <w:lang w:val="en-US"/>
        </w:rPr>
        <w:t>F</w:t>
      </w:r>
      <w:r w:rsidRPr="00BC73BB">
        <w:rPr>
          <w:rFonts w:ascii="Times New Roman" w:hAnsi="Times New Roman"/>
          <w:sz w:val="28"/>
          <w:szCs w:val="28"/>
          <w:lang w:val="uk-UA"/>
        </w:rPr>
        <w:t xml:space="preserve">. </w:t>
      </w:r>
      <w:r w:rsidRPr="00BC73BB">
        <w:rPr>
          <w:rFonts w:ascii="Times New Roman" w:hAnsi="Times New Roman"/>
          <w:sz w:val="28"/>
          <w:szCs w:val="28"/>
          <w:lang w:val="en-US"/>
        </w:rPr>
        <w:t>J</w:t>
      </w:r>
      <w:r w:rsidRPr="00BC73BB">
        <w:rPr>
          <w:rFonts w:ascii="Times New Roman" w:hAnsi="Times New Roman"/>
          <w:sz w:val="28"/>
          <w:szCs w:val="28"/>
          <w:lang w:val="uk-UA"/>
        </w:rPr>
        <w:t xml:space="preserve">., </w:t>
      </w:r>
      <w:r w:rsidRPr="00BC73BB">
        <w:rPr>
          <w:rFonts w:ascii="Times New Roman" w:hAnsi="Times New Roman"/>
          <w:sz w:val="28"/>
          <w:szCs w:val="28"/>
          <w:lang w:val="en-US"/>
        </w:rPr>
        <w:t>Mullbacher</w:t>
      </w:r>
      <w:r w:rsidRPr="00086D89">
        <w:rPr>
          <w:rFonts w:ascii="Times New Roman" w:hAnsi="Times New Roman"/>
          <w:sz w:val="28"/>
          <w:szCs w:val="28"/>
          <w:lang w:val="uk-UA"/>
        </w:rPr>
        <w:t xml:space="preserve"> </w:t>
      </w:r>
      <w:r w:rsidRPr="00BC73BB">
        <w:rPr>
          <w:rFonts w:ascii="Times New Roman" w:hAnsi="Times New Roman"/>
          <w:sz w:val="28"/>
          <w:szCs w:val="28"/>
          <w:lang w:val="en-US"/>
        </w:rPr>
        <w:t>A</w:t>
      </w:r>
      <w:r w:rsidRPr="00BC73BB">
        <w:rPr>
          <w:rFonts w:ascii="Times New Roman" w:hAnsi="Times New Roman"/>
          <w:sz w:val="28"/>
          <w:szCs w:val="28"/>
          <w:lang w:val="uk-UA"/>
        </w:rPr>
        <w:t xml:space="preserve">. </w:t>
      </w:r>
      <w:r w:rsidRPr="00BC73BB">
        <w:rPr>
          <w:rFonts w:ascii="Times New Roman" w:hAnsi="Times New Roman"/>
          <w:sz w:val="28"/>
          <w:szCs w:val="28"/>
          <w:lang w:val="en-US"/>
        </w:rPr>
        <w:t>Apoptosisorprogrammedcelldeath</w:t>
      </w:r>
      <w:r w:rsidRPr="00BC73BB">
        <w:rPr>
          <w:rFonts w:ascii="Times New Roman" w:hAnsi="Times New Roman"/>
          <w:sz w:val="28"/>
          <w:szCs w:val="28"/>
          <w:lang w:val="uk-UA"/>
        </w:rPr>
        <w:t xml:space="preserve">. </w:t>
      </w:r>
      <w:r w:rsidRPr="00BC73BB">
        <w:rPr>
          <w:rFonts w:ascii="Times New Roman" w:hAnsi="Times New Roman"/>
          <w:sz w:val="28"/>
          <w:szCs w:val="28"/>
          <w:lang w:val="en-US"/>
        </w:rPr>
        <w:t>Med</w:t>
      </w:r>
      <w:r w:rsidRPr="00BC73BB">
        <w:rPr>
          <w:rFonts w:ascii="Times New Roman" w:hAnsi="Times New Roman"/>
          <w:sz w:val="28"/>
          <w:szCs w:val="28"/>
          <w:lang w:val="uk-UA"/>
        </w:rPr>
        <w:t xml:space="preserve">. </w:t>
      </w:r>
      <w:r w:rsidRPr="00BC73BB">
        <w:rPr>
          <w:rFonts w:ascii="Times New Roman" w:hAnsi="Times New Roman"/>
          <w:sz w:val="28"/>
          <w:szCs w:val="28"/>
          <w:lang w:val="en-US"/>
        </w:rPr>
        <w:t>Res</w:t>
      </w:r>
      <w:r w:rsidRPr="00BC73BB">
        <w:rPr>
          <w:rFonts w:ascii="Times New Roman" w:hAnsi="Times New Roman"/>
          <w:sz w:val="28"/>
          <w:szCs w:val="28"/>
          <w:lang w:val="uk-UA"/>
        </w:rPr>
        <w:t xml:space="preserve">. </w:t>
      </w:r>
      <w:r w:rsidRPr="00BC73BB">
        <w:rPr>
          <w:rFonts w:ascii="Times New Roman" w:hAnsi="Times New Roman"/>
          <w:sz w:val="28"/>
          <w:szCs w:val="28"/>
          <w:lang w:val="en-US"/>
        </w:rPr>
        <w:t xml:space="preserve">Rev. 2008. № 11. </w:t>
      </w:r>
      <w:r w:rsidRPr="00BC73BB">
        <w:rPr>
          <w:rFonts w:ascii="Times New Roman" w:hAnsi="Times New Roman"/>
          <w:sz w:val="28"/>
          <w:szCs w:val="28"/>
        </w:rPr>
        <w:t>Р</w:t>
      </w:r>
      <w:r w:rsidRPr="00BC73BB">
        <w:rPr>
          <w:rFonts w:ascii="Times New Roman" w:hAnsi="Times New Roman"/>
          <w:sz w:val="28"/>
          <w:szCs w:val="28"/>
          <w:lang w:val="en-US"/>
        </w:rPr>
        <w:t>. 219</w:t>
      </w:r>
      <w:r w:rsidRPr="00BC73BB">
        <w:rPr>
          <w:rFonts w:ascii="Times New Roman" w:hAnsi="Times New Roman"/>
          <w:sz w:val="28"/>
          <w:szCs w:val="28"/>
          <w:lang w:val="uk-UA"/>
        </w:rPr>
        <w:t>–</w:t>
      </w:r>
      <w:r w:rsidRPr="00BC73BB">
        <w:rPr>
          <w:rFonts w:ascii="Times New Roman" w:hAnsi="Times New Roman"/>
          <w:sz w:val="28"/>
          <w:szCs w:val="28"/>
          <w:lang w:val="en-US"/>
        </w:rPr>
        <w:t>236.</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uk-UA"/>
        </w:rPr>
        <w:t>191</w:t>
      </w:r>
      <w:r w:rsidRPr="00BC73BB">
        <w:rPr>
          <w:rFonts w:ascii="Times New Roman" w:hAnsi="Times New Roman"/>
          <w:sz w:val="28"/>
          <w:szCs w:val="28"/>
          <w:lang w:val="en-US"/>
        </w:rPr>
        <w:t>.Zinc deficiency mediates alcohol-induced apoptotic cell death in the liver of rats through activating ER and mitochondrial cell death pathways</w:t>
      </w:r>
      <w:r w:rsidRPr="00BC73BB">
        <w:rPr>
          <w:rFonts w:ascii="Times New Roman" w:hAnsi="Times New Roman"/>
          <w:sz w:val="28"/>
          <w:szCs w:val="28"/>
          <w:lang w:val="uk-UA"/>
        </w:rPr>
        <w:t xml:space="preserve"> / </w:t>
      </w:r>
      <w:r w:rsidRPr="00BC73BB">
        <w:rPr>
          <w:rFonts w:ascii="Times New Roman" w:hAnsi="Times New Roman"/>
          <w:sz w:val="28"/>
          <w:szCs w:val="28"/>
          <w:lang w:val="en-US"/>
        </w:rPr>
        <w:t>Q</w:t>
      </w:r>
      <w:r w:rsidRPr="00BC73BB">
        <w:rPr>
          <w:rFonts w:ascii="Times New Roman" w:hAnsi="Times New Roman"/>
          <w:sz w:val="28"/>
          <w:szCs w:val="28"/>
          <w:lang w:val="uk-UA"/>
        </w:rPr>
        <w:t xml:space="preserve">. </w:t>
      </w:r>
      <w:r w:rsidRPr="00BC73BB">
        <w:rPr>
          <w:rFonts w:ascii="Times New Roman" w:hAnsi="Times New Roman"/>
          <w:sz w:val="28"/>
          <w:szCs w:val="28"/>
          <w:lang w:val="en-US"/>
        </w:rPr>
        <w:t>Sunetal</w:t>
      </w:r>
      <w:r w:rsidRPr="00BC73BB">
        <w:rPr>
          <w:rFonts w:ascii="Times New Roman" w:hAnsi="Times New Roman"/>
          <w:sz w:val="28"/>
          <w:szCs w:val="28"/>
          <w:lang w:val="uk-UA"/>
        </w:rPr>
        <w:t xml:space="preserve">. </w:t>
      </w:r>
      <w:r w:rsidRPr="00BC73BB">
        <w:rPr>
          <w:rFonts w:ascii="Times New Roman" w:hAnsi="Times New Roman"/>
          <w:sz w:val="28"/>
          <w:szCs w:val="28"/>
          <w:lang w:val="en-US"/>
        </w:rPr>
        <w:t xml:space="preserve">Am. J. Physiol. Gastrointest. Liver Physiol. 2015. Vol. 308(9). </w:t>
      </w:r>
      <w:r w:rsidRPr="00BC73BB">
        <w:rPr>
          <w:rFonts w:ascii="Times New Roman" w:hAnsi="Times New Roman"/>
          <w:sz w:val="28"/>
          <w:szCs w:val="28"/>
        </w:rPr>
        <w:t>Р</w:t>
      </w:r>
      <w:r w:rsidRPr="00BC73BB">
        <w:rPr>
          <w:rFonts w:ascii="Times New Roman" w:hAnsi="Times New Roman"/>
          <w:sz w:val="28"/>
          <w:szCs w:val="28"/>
          <w:lang w:val="en-US"/>
        </w:rPr>
        <w:t>. 757</w:t>
      </w:r>
      <w:r w:rsidRPr="00BC73BB">
        <w:rPr>
          <w:rFonts w:ascii="Times New Roman" w:hAnsi="Times New Roman"/>
          <w:sz w:val="28"/>
          <w:szCs w:val="28"/>
          <w:lang w:val="uk-UA"/>
        </w:rPr>
        <w:t>–7</w:t>
      </w:r>
      <w:r w:rsidRPr="00BC73BB">
        <w:rPr>
          <w:rFonts w:ascii="Times New Roman" w:hAnsi="Times New Roman"/>
          <w:sz w:val="28"/>
          <w:szCs w:val="28"/>
          <w:lang w:val="en-US"/>
        </w:rPr>
        <w:t>66.</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192</w:t>
      </w:r>
      <w:r w:rsidRPr="00BC73BB">
        <w:rPr>
          <w:rFonts w:ascii="Times New Roman" w:hAnsi="Times New Roman"/>
          <w:sz w:val="28"/>
          <w:szCs w:val="28"/>
          <w:lang w:val="en-US"/>
        </w:rPr>
        <w:t>.Themolecularandultrastructuralaspectsoftheformationofmitochondrialdysfunctioninthemodelingofchroniccerebralischemia</w:t>
      </w:r>
      <w:r w:rsidRPr="00BC73BB">
        <w:rPr>
          <w:rFonts w:ascii="Times New Roman" w:hAnsi="Times New Roman"/>
          <w:sz w:val="28"/>
          <w:szCs w:val="28"/>
          <w:lang w:val="uk-UA"/>
        </w:rPr>
        <w:t xml:space="preserve">: </w:t>
      </w:r>
      <w:r w:rsidRPr="00BC73BB">
        <w:rPr>
          <w:rFonts w:ascii="Times New Roman" w:hAnsi="Times New Roman"/>
          <w:sz w:val="28"/>
          <w:szCs w:val="28"/>
          <w:lang w:val="en-US"/>
        </w:rPr>
        <w:t>themitoprotectiveeffectsofangiolin</w:t>
      </w:r>
      <w:r w:rsidRPr="00BC73BB">
        <w:rPr>
          <w:rFonts w:ascii="Times New Roman" w:hAnsi="Times New Roman"/>
          <w:sz w:val="28"/>
          <w:szCs w:val="28"/>
          <w:lang w:val="uk-UA"/>
        </w:rPr>
        <w:t xml:space="preserve"> / </w:t>
      </w:r>
      <w:r w:rsidRPr="00BC73BB">
        <w:rPr>
          <w:rFonts w:ascii="Times New Roman" w:hAnsi="Times New Roman"/>
          <w:sz w:val="28"/>
          <w:szCs w:val="28"/>
          <w:lang w:val="en-US"/>
        </w:rPr>
        <w:t>I</w:t>
      </w:r>
      <w:r w:rsidRPr="00BC73BB">
        <w:rPr>
          <w:rFonts w:ascii="Times New Roman" w:hAnsi="Times New Roman"/>
          <w:sz w:val="28"/>
          <w:szCs w:val="28"/>
          <w:lang w:val="uk-UA"/>
        </w:rPr>
        <w:t xml:space="preserve">. </w:t>
      </w:r>
      <w:r w:rsidRPr="00BC73BB">
        <w:rPr>
          <w:rFonts w:ascii="Times New Roman" w:hAnsi="Times New Roman"/>
          <w:sz w:val="28"/>
          <w:szCs w:val="28"/>
          <w:lang w:val="en-US"/>
        </w:rPr>
        <w:t>F</w:t>
      </w:r>
      <w:r w:rsidRPr="00BC73BB">
        <w:rPr>
          <w:rFonts w:ascii="Times New Roman" w:hAnsi="Times New Roman"/>
          <w:sz w:val="28"/>
          <w:szCs w:val="28"/>
          <w:lang w:val="uk-UA"/>
        </w:rPr>
        <w:t xml:space="preserve">. </w:t>
      </w:r>
      <w:r w:rsidRPr="00BC73BB">
        <w:rPr>
          <w:rFonts w:ascii="Times New Roman" w:hAnsi="Times New Roman"/>
          <w:sz w:val="28"/>
          <w:szCs w:val="28"/>
          <w:lang w:val="en-US"/>
        </w:rPr>
        <w:t>Belenichevetal</w:t>
      </w:r>
      <w:r w:rsidRPr="00BC73BB">
        <w:rPr>
          <w:rFonts w:ascii="Times New Roman" w:hAnsi="Times New Roman"/>
          <w:sz w:val="28"/>
          <w:szCs w:val="28"/>
          <w:lang w:val="uk-UA"/>
        </w:rPr>
        <w:t xml:space="preserve">. </w:t>
      </w:r>
      <w:r w:rsidRPr="00BC73BB">
        <w:rPr>
          <w:rFonts w:ascii="Times New Roman" w:hAnsi="Times New Roman"/>
          <w:sz w:val="28"/>
          <w:szCs w:val="28"/>
          <w:lang w:val="en-US"/>
        </w:rPr>
        <w:t>Neurochem</w:t>
      </w:r>
      <w:r w:rsidRPr="00BC73BB">
        <w:rPr>
          <w:rFonts w:ascii="Times New Roman" w:hAnsi="Times New Roman"/>
          <w:sz w:val="28"/>
          <w:szCs w:val="28"/>
          <w:lang w:val="uk-UA"/>
        </w:rPr>
        <w:t xml:space="preserve">. </w:t>
      </w:r>
      <w:r w:rsidRPr="00BC73BB">
        <w:rPr>
          <w:rFonts w:ascii="Times New Roman" w:hAnsi="Times New Roman"/>
          <w:sz w:val="28"/>
          <w:szCs w:val="28"/>
          <w:lang w:val="en-US"/>
        </w:rPr>
        <w:t>J</w:t>
      </w:r>
      <w:r w:rsidRPr="00BC73BB">
        <w:rPr>
          <w:rFonts w:ascii="Times New Roman" w:hAnsi="Times New Roman"/>
          <w:sz w:val="28"/>
          <w:szCs w:val="28"/>
          <w:lang w:val="uk-UA"/>
        </w:rPr>
        <w:t xml:space="preserve">. 2016. </w:t>
      </w:r>
      <w:r w:rsidRPr="00BC73BB">
        <w:rPr>
          <w:rFonts w:ascii="Times New Roman" w:hAnsi="Times New Roman"/>
          <w:sz w:val="28"/>
          <w:szCs w:val="28"/>
          <w:lang w:val="en-US"/>
        </w:rPr>
        <w:t>Vol</w:t>
      </w:r>
      <w:r w:rsidRPr="00BC73BB">
        <w:rPr>
          <w:rFonts w:ascii="Times New Roman" w:hAnsi="Times New Roman"/>
          <w:sz w:val="28"/>
          <w:szCs w:val="28"/>
          <w:lang w:val="uk-UA"/>
        </w:rPr>
        <w:t xml:space="preserve">. 10 (2). </w:t>
      </w:r>
      <w:r w:rsidRPr="00BC73BB">
        <w:rPr>
          <w:rFonts w:ascii="Times New Roman" w:hAnsi="Times New Roman"/>
          <w:sz w:val="28"/>
          <w:szCs w:val="28"/>
          <w:lang w:val="en-US"/>
        </w:rPr>
        <w:t>P</w:t>
      </w:r>
      <w:r w:rsidRPr="00BC73BB">
        <w:rPr>
          <w:rFonts w:ascii="Times New Roman" w:hAnsi="Times New Roman"/>
          <w:sz w:val="28"/>
          <w:szCs w:val="28"/>
          <w:lang w:val="uk-UA"/>
        </w:rPr>
        <w:t>. 131–136.</w:t>
      </w:r>
    </w:p>
    <w:p w:rsidR="001F0A71" w:rsidRPr="00BC73BB" w:rsidRDefault="001F0A71" w:rsidP="00E1086D">
      <w:pPr>
        <w:pStyle w:val="a5"/>
        <w:widowControl w:val="0"/>
        <w:shd w:val="clear" w:color="auto" w:fill="FFFFFF"/>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193. Вплив діакамфу гідрохлориду на інтенсивність нейроапоптозу при експериментальному порушенні мозкового кровообігу на тлі цукрового діабету / В. В. Шведський и др. Фармак. лік</w:t>
      </w:r>
      <w:r w:rsidRPr="00BC73BB">
        <w:rPr>
          <w:rFonts w:ascii="Times New Roman" w:hAnsi="Times New Roman"/>
          <w:sz w:val="28"/>
          <w:szCs w:val="28"/>
          <w:lang w:val="en-US"/>
        </w:rPr>
        <w:t>.</w:t>
      </w:r>
      <w:r w:rsidRPr="00BC73BB">
        <w:rPr>
          <w:rFonts w:ascii="Times New Roman" w:hAnsi="Times New Roman"/>
          <w:sz w:val="28"/>
          <w:szCs w:val="28"/>
          <w:lang w:val="uk-UA"/>
        </w:rPr>
        <w:t>токсикол. 2012. № 2. С. 49–53.</w:t>
      </w:r>
    </w:p>
    <w:p w:rsidR="001F0A71" w:rsidRPr="00BC73BB" w:rsidRDefault="001F0A71" w:rsidP="00E1086D">
      <w:pPr>
        <w:pStyle w:val="a5"/>
        <w:widowControl w:val="0"/>
        <w:shd w:val="clear" w:color="auto" w:fill="FFFFFF"/>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194</w:t>
      </w:r>
      <w:r w:rsidRPr="00BC73BB">
        <w:rPr>
          <w:rFonts w:ascii="Times New Roman" w:hAnsi="Times New Roman"/>
          <w:sz w:val="28"/>
          <w:szCs w:val="28"/>
          <w:lang w:val="en-US"/>
        </w:rPr>
        <w:t>.KnightR</w:t>
      </w:r>
      <w:r w:rsidRPr="00BC73BB">
        <w:rPr>
          <w:rFonts w:ascii="Times New Roman" w:hAnsi="Times New Roman"/>
          <w:sz w:val="28"/>
          <w:szCs w:val="28"/>
          <w:lang w:val="uk-UA"/>
        </w:rPr>
        <w:t xml:space="preserve">. </w:t>
      </w:r>
      <w:r w:rsidRPr="00BC73BB">
        <w:rPr>
          <w:rFonts w:ascii="Times New Roman" w:hAnsi="Times New Roman"/>
          <w:sz w:val="28"/>
          <w:szCs w:val="28"/>
          <w:lang w:val="en-US"/>
        </w:rPr>
        <w:t>A</w:t>
      </w:r>
      <w:r w:rsidRPr="00BC73BB">
        <w:rPr>
          <w:rFonts w:ascii="Times New Roman" w:hAnsi="Times New Roman"/>
          <w:sz w:val="28"/>
          <w:szCs w:val="28"/>
          <w:lang w:val="uk-UA"/>
        </w:rPr>
        <w:t xml:space="preserve">., </w:t>
      </w:r>
      <w:r w:rsidRPr="00BC73BB">
        <w:rPr>
          <w:rFonts w:ascii="Times New Roman" w:hAnsi="Times New Roman"/>
          <w:sz w:val="28"/>
          <w:szCs w:val="28"/>
          <w:lang w:val="en-US"/>
        </w:rPr>
        <w:t>MelinoG</w:t>
      </w:r>
      <w:r w:rsidRPr="00BC73BB">
        <w:rPr>
          <w:rFonts w:ascii="Times New Roman" w:hAnsi="Times New Roman"/>
          <w:sz w:val="28"/>
          <w:szCs w:val="28"/>
          <w:lang w:val="uk-UA"/>
        </w:rPr>
        <w:t xml:space="preserve">. </w:t>
      </w:r>
      <w:r w:rsidRPr="00BC73BB">
        <w:rPr>
          <w:rFonts w:ascii="Times New Roman" w:hAnsi="Times New Roman"/>
          <w:sz w:val="28"/>
          <w:szCs w:val="28"/>
          <w:lang w:val="en-US"/>
        </w:rPr>
        <w:t>Celldeathindisease</w:t>
      </w:r>
      <w:r w:rsidRPr="00BC73BB">
        <w:rPr>
          <w:rFonts w:ascii="Times New Roman" w:hAnsi="Times New Roman"/>
          <w:sz w:val="28"/>
          <w:szCs w:val="28"/>
          <w:lang w:val="uk-UA"/>
        </w:rPr>
        <w:t xml:space="preserve">: </w:t>
      </w:r>
      <w:r w:rsidRPr="00BC73BB">
        <w:rPr>
          <w:rFonts w:ascii="Times New Roman" w:hAnsi="Times New Roman"/>
          <w:sz w:val="28"/>
          <w:szCs w:val="28"/>
          <w:lang w:val="en-US"/>
        </w:rPr>
        <w:t>from</w:t>
      </w:r>
      <w:r w:rsidRPr="00BC73BB">
        <w:rPr>
          <w:rFonts w:ascii="Times New Roman" w:hAnsi="Times New Roman"/>
          <w:sz w:val="28"/>
          <w:szCs w:val="28"/>
          <w:lang w:val="uk-UA"/>
        </w:rPr>
        <w:t xml:space="preserve"> 2010 </w:t>
      </w:r>
      <w:r w:rsidRPr="00BC73BB">
        <w:rPr>
          <w:rFonts w:ascii="Times New Roman" w:hAnsi="Times New Roman"/>
          <w:sz w:val="28"/>
          <w:szCs w:val="28"/>
          <w:lang w:val="en-US"/>
        </w:rPr>
        <w:t>onwards</w:t>
      </w:r>
      <w:r w:rsidRPr="00BC73BB">
        <w:rPr>
          <w:rFonts w:ascii="Times New Roman" w:hAnsi="Times New Roman"/>
          <w:sz w:val="28"/>
          <w:szCs w:val="28"/>
          <w:lang w:val="uk-UA"/>
        </w:rPr>
        <w:t xml:space="preserve">. </w:t>
      </w:r>
      <w:r w:rsidRPr="00BC73BB">
        <w:rPr>
          <w:rFonts w:ascii="Times New Roman" w:hAnsi="Times New Roman"/>
          <w:sz w:val="28"/>
          <w:szCs w:val="28"/>
          <w:lang w:val="en-US"/>
        </w:rPr>
        <w:t>CellDeathDis</w:t>
      </w:r>
      <w:r w:rsidRPr="00BC73BB">
        <w:rPr>
          <w:rFonts w:ascii="Times New Roman" w:hAnsi="Times New Roman"/>
          <w:sz w:val="28"/>
          <w:szCs w:val="28"/>
          <w:lang w:val="uk-UA"/>
        </w:rPr>
        <w:t xml:space="preserve">. </w:t>
      </w:r>
      <w:r w:rsidRPr="00BC73BB">
        <w:rPr>
          <w:rFonts w:ascii="Times New Roman" w:hAnsi="Times New Roman"/>
          <w:sz w:val="28"/>
          <w:szCs w:val="28"/>
          <w:lang w:val="uk-UA"/>
        </w:rPr>
        <w:lastRenderedPageBreak/>
        <w:t xml:space="preserve">2011. </w:t>
      </w:r>
      <w:r w:rsidRPr="00BC73BB">
        <w:rPr>
          <w:rFonts w:ascii="Times New Roman" w:hAnsi="Times New Roman"/>
          <w:sz w:val="28"/>
          <w:szCs w:val="28"/>
          <w:lang w:val="en-US"/>
        </w:rPr>
        <w:t>Vol</w:t>
      </w:r>
      <w:r w:rsidRPr="00BC73BB">
        <w:rPr>
          <w:rFonts w:ascii="Times New Roman" w:hAnsi="Times New Roman"/>
          <w:sz w:val="28"/>
          <w:szCs w:val="28"/>
          <w:lang w:val="uk-UA"/>
        </w:rPr>
        <w:t>. 2. Р. 202.</w:t>
      </w:r>
    </w:p>
    <w:p w:rsidR="001F0A71" w:rsidRPr="00BC73BB"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195</w:t>
      </w:r>
      <w:r w:rsidRPr="00BC73BB">
        <w:rPr>
          <w:rFonts w:ascii="Times New Roman" w:hAnsi="Times New Roman"/>
          <w:sz w:val="28"/>
          <w:szCs w:val="28"/>
          <w:lang w:val="en-US"/>
        </w:rPr>
        <w:t>.Role of Apoptosis in disease</w:t>
      </w:r>
      <w:r w:rsidRPr="00BC73BB">
        <w:rPr>
          <w:rFonts w:ascii="Times New Roman" w:hAnsi="Times New Roman"/>
          <w:sz w:val="28"/>
          <w:szCs w:val="28"/>
          <w:lang w:val="uk-UA"/>
        </w:rPr>
        <w:t xml:space="preserve"> /</w:t>
      </w:r>
      <w:r w:rsidRPr="00BC73BB">
        <w:rPr>
          <w:rFonts w:ascii="Times New Roman" w:hAnsi="Times New Roman"/>
          <w:sz w:val="28"/>
          <w:szCs w:val="28"/>
          <w:lang w:val="en-US"/>
        </w:rPr>
        <w:t xml:space="preserve"> B. Favaloro et al.Aging. 2012. № 5, Vol. 4. </w:t>
      </w:r>
      <w:r w:rsidRPr="00BC73BB">
        <w:rPr>
          <w:rFonts w:ascii="Times New Roman" w:hAnsi="Times New Roman"/>
          <w:sz w:val="28"/>
          <w:szCs w:val="28"/>
        </w:rPr>
        <w:t>Р</w:t>
      </w:r>
      <w:r w:rsidRPr="00BC73BB">
        <w:rPr>
          <w:rFonts w:ascii="Times New Roman" w:hAnsi="Times New Roman"/>
          <w:sz w:val="28"/>
          <w:szCs w:val="28"/>
          <w:lang w:val="en-US"/>
        </w:rPr>
        <w:t>. 330</w:t>
      </w:r>
      <w:r w:rsidRPr="00BC73BB">
        <w:rPr>
          <w:rFonts w:ascii="Times New Roman" w:hAnsi="Times New Roman"/>
          <w:sz w:val="28"/>
          <w:szCs w:val="28"/>
          <w:lang w:val="uk-UA"/>
        </w:rPr>
        <w:t>–</w:t>
      </w:r>
      <w:r w:rsidRPr="00BC73BB">
        <w:rPr>
          <w:rFonts w:ascii="Times New Roman" w:hAnsi="Times New Roman"/>
          <w:sz w:val="28"/>
          <w:szCs w:val="28"/>
          <w:lang w:val="en-US"/>
        </w:rPr>
        <w:t>349</w:t>
      </w:r>
      <w:r w:rsidRPr="00BC73BB">
        <w:rPr>
          <w:rFonts w:ascii="Times New Roman" w:hAnsi="Times New Roman"/>
          <w:sz w:val="28"/>
          <w:szCs w:val="28"/>
          <w:lang w:val="uk-UA"/>
        </w:rPr>
        <w:t>.</w:t>
      </w:r>
      <w:bookmarkStart w:id="45" w:name="_Hlk50203154"/>
    </w:p>
    <w:p w:rsidR="001F0A71" w:rsidRPr="00B065B6" w:rsidRDefault="001F0A71" w:rsidP="00E1086D">
      <w:pPr>
        <w:pStyle w:val="a5"/>
        <w:tabs>
          <w:tab w:val="left" w:pos="851"/>
          <w:tab w:val="left" w:pos="993"/>
        </w:tabs>
        <w:spacing w:after="0" w:line="360" w:lineRule="auto"/>
        <w:ind w:left="0" w:firstLine="284"/>
        <w:jc w:val="both"/>
        <w:rPr>
          <w:rFonts w:ascii="Times New Roman" w:hAnsi="Times New Roman"/>
          <w:sz w:val="28"/>
          <w:szCs w:val="28"/>
          <w:lang w:val="en-US"/>
        </w:rPr>
      </w:pPr>
      <w:r w:rsidRPr="00BC73BB">
        <w:rPr>
          <w:rFonts w:ascii="Times New Roman" w:hAnsi="Times New Roman"/>
          <w:sz w:val="28"/>
          <w:szCs w:val="28"/>
          <w:lang w:val="uk-UA"/>
        </w:rPr>
        <w:t xml:space="preserve">196. </w:t>
      </w:r>
      <w:r w:rsidRPr="00BC73BB">
        <w:rPr>
          <w:rFonts w:ascii="Times New Roman" w:hAnsi="Times New Roman"/>
          <w:sz w:val="28"/>
          <w:szCs w:val="28"/>
          <w:lang w:val="en-US"/>
        </w:rPr>
        <w:t>Voloshchuk N., Zhaboiedova N. Evaluation of the cerebroprotective action of 1-adamantyloxy-3morpholino-2-propanol hydrochloride in rats with experimental hemorrhagic stroke according to the dynamics of neurocytolysis, neuroapoptosis and neuroproliferation markers. Biological Marker. 2020. Vol. 4, № 2. P</w:t>
      </w:r>
      <w:r w:rsidRPr="00B065B6">
        <w:rPr>
          <w:rFonts w:ascii="Times New Roman" w:hAnsi="Times New Roman"/>
          <w:sz w:val="28"/>
          <w:szCs w:val="28"/>
          <w:lang w:val="en-US"/>
        </w:rPr>
        <w:t>. 13–19.</w:t>
      </w:r>
    </w:p>
    <w:p w:rsidR="001F0A71" w:rsidRPr="0026450D" w:rsidRDefault="001F0A71" w:rsidP="00E1086D">
      <w:pPr>
        <w:pStyle w:val="3"/>
        <w:widowControl w:val="0"/>
        <w:tabs>
          <w:tab w:val="left" w:pos="851"/>
          <w:tab w:val="left" w:pos="993"/>
        </w:tabs>
        <w:spacing w:after="0" w:line="360" w:lineRule="auto"/>
        <w:ind w:left="0" w:firstLine="284"/>
        <w:jc w:val="both"/>
        <w:rPr>
          <w:rFonts w:ascii="Times New Roman" w:hAnsi="Times New Roman"/>
          <w:sz w:val="28"/>
          <w:szCs w:val="28"/>
          <w:lang w:val="uk-UA"/>
        </w:rPr>
      </w:pPr>
      <w:r w:rsidRPr="00BC73BB">
        <w:rPr>
          <w:rFonts w:ascii="Times New Roman" w:hAnsi="Times New Roman"/>
          <w:sz w:val="28"/>
          <w:szCs w:val="28"/>
          <w:lang w:val="uk-UA"/>
        </w:rPr>
        <w:t>197. Жабоєдова</w:t>
      </w:r>
      <w:r w:rsidRPr="0026450D">
        <w:rPr>
          <w:rFonts w:ascii="Times New Roman" w:hAnsi="Times New Roman"/>
          <w:sz w:val="28"/>
          <w:szCs w:val="28"/>
          <w:lang w:val="uk-UA"/>
        </w:rPr>
        <w:t xml:space="preserve">Н. В. Оцінка церебропротекторної активності адемолу в умовах геморагічного інсульту у щурів. Перший крок в науку – 2020: тези доповідей </w:t>
      </w:r>
      <w:r w:rsidRPr="0026450D">
        <w:rPr>
          <w:rFonts w:ascii="Times New Roman" w:hAnsi="Times New Roman"/>
          <w:sz w:val="28"/>
          <w:szCs w:val="28"/>
        </w:rPr>
        <w:t>X</w:t>
      </w:r>
      <w:r w:rsidRPr="0026450D">
        <w:rPr>
          <w:rFonts w:ascii="Times New Roman" w:hAnsi="Times New Roman"/>
          <w:sz w:val="28"/>
          <w:szCs w:val="28"/>
          <w:lang w:val="en-US"/>
        </w:rPr>
        <w:t>VII</w:t>
      </w:r>
      <w:r w:rsidRPr="0026450D">
        <w:rPr>
          <w:rFonts w:ascii="Times New Roman" w:hAnsi="Times New Roman"/>
          <w:sz w:val="28"/>
          <w:szCs w:val="28"/>
          <w:lang w:val="uk-UA"/>
        </w:rPr>
        <w:t xml:space="preserve"> наук.-практ. конфер. студентів та молодих вчених з міжнар. уч. (Вінниця, 8–10 квітня 2020 р.). Вінниця</w:t>
      </w:r>
      <w:bookmarkEnd w:id="45"/>
      <w:r w:rsidRPr="0026450D">
        <w:rPr>
          <w:rFonts w:ascii="Times New Roman" w:hAnsi="Times New Roman"/>
          <w:sz w:val="28"/>
          <w:szCs w:val="28"/>
          <w:lang w:val="uk-UA"/>
        </w:rPr>
        <w:t>: Видавник ФОП Корзун Д.Ю.,2019. С.487.</w:t>
      </w:r>
    </w:p>
    <w:p w:rsidR="004F28EA" w:rsidRDefault="004F28EA">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rsidR="001F0A71" w:rsidRPr="0026450D" w:rsidRDefault="001F0A71" w:rsidP="001F0A71">
      <w:pPr>
        <w:pStyle w:val="1"/>
        <w:spacing w:before="0" w:line="360" w:lineRule="auto"/>
        <w:jc w:val="center"/>
        <w:rPr>
          <w:b w:val="0"/>
          <w:sz w:val="28"/>
          <w:lang w:val="uk-UA"/>
        </w:rPr>
      </w:pPr>
      <w:bookmarkStart w:id="46" w:name="_Hlk59309972"/>
      <w:bookmarkEnd w:id="46"/>
      <w:r w:rsidRPr="0026450D">
        <w:rPr>
          <w:sz w:val="28"/>
          <w:lang w:val="uk-UA"/>
        </w:rPr>
        <w:lastRenderedPageBreak/>
        <w:t>ДОДАТКИ</w:t>
      </w:r>
    </w:p>
    <w:p w:rsidR="001F0A71" w:rsidRPr="009E77C1" w:rsidRDefault="001F0A71" w:rsidP="001F0A71">
      <w:pPr>
        <w:pStyle w:val="1"/>
        <w:spacing w:before="0" w:line="360" w:lineRule="auto"/>
        <w:jc w:val="center"/>
        <w:rPr>
          <w:b w:val="0"/>
          <w:i/>
          <w:iCs/>
          <w:sz w:val="28"/>
          <w:lang w:val="uk-UA"/>
        </w:rPr>
      </w:pPr>
      <w:r w:rsidRPr="009E77C1">
        <w:rPr>
          <w:i/>
          <w:iCs/>
          <w:sz w:val="28"/>
          <w:lang w:val="uk-UA"/>
        </w:rPr>
        <w:t xml:space="preserve">ДОДАТОК </w:t>
      </w:r>
      <w:r>
        <w:rPr>
          <w:i/>
          <w:iCs/>
          <w:sz w:val="28"/>
          <w:lang w:val="uk-UA"/>
        </w:rPr>
        <w:t>1</w:t>
      </w:r>
    </w:p>
    <w:p w:rsidR="001F0A71" w:rsidRPr="0026450D" w:rsidRDefault="001F0A71" w:rsidP="001F0A71">
      <w:pPr>
        <w:rPr>
          <w:lang w:val="uk-UA"/>
        </w:rPr>
      </w:pPr>
    </w:p>
    <w:p w:rsidR="001F0A71" w:rsidRPr="0026450D" w:rsidRDefault="001F0A71" w:rsidP="001F0A71">
      <w:pPr>
        <w:widowControl w:val="0"/>
        <w:spacing w:after="0" w:line="360" w:lineRule="auto"/>
        <w:jc w:val="center"/>
        <w:rPr>
          <w:rFonts w:ascii="Times New Roman" w:hAnsi="Times New Roman"/>
          <w:b/>
          <w:sz w:val="36"/>
          <w:szCs w:val="28"/>
          <w:lang w:val="uk-UA"/>
        </w:rPr>
      </w:pPr>
      <w:r>
        <w:rPr>
          <w:rFonts w:ascii="Times New Roman" w:hAnsi="Times New Roman"/>
          <w:b/>
          <w:sz w:val="28"/>
        </w:rPr>
        <w:t>СПИСОК</w:t>
      </w:r>
      <w:r w:rsidRPr="0026450D">
        <w:rPr>
          <w:rFonts w:ascii="Times New Roman" w:hAnsi="Times New Roman"/>
          <w:b/>
          <w:sz w:val="28"/>
        </w:rPr>
        <w:t>ПУБЛІК</w:t>
      </w:r>
      <w:r>
        <w:rPr>
          <w:rFonts w:ascii="Times New Roman" w:hAnsi="Times New Roman"/>
          <w:b/>
          <w:sz w:val="28"/>
          <w:lang w:val="uk-UA"/>
        </w:rPr>
        <w:t>АЦІЙПО ТЕМІ</w:t>
      </w:r>
      <w:r w:rsidRPr="0026450D">
        <w:rPr>
          <w:rFonts w:ascii="Times New Roman" w:hAnsi="Times New Roman"/>
          <w:b/>
          <w:sz w:val="28"/>
        </w:rPr>
        <w:t xml:space="preserve"> ДИСЕРТАЦІЇ</w:t>
      </w:r>
    </w:p>
    <w:p w:rsidR="001F0A71" w:rsidRPr="009E77C1" w:rsidRDefault="001F0A71" w:rsidP="001F0A71">
      <w:pPr>
        <w:pStyle w:val="a5"/>
        <w:numPr>
          <w:ilvl w:val="0"/>
          <w:numId w:val="36"/>
        </w:numPr>
        <w:shd w:val="clear" w:color="auto" w:fill="FFFFFF"/>
        <w:spacing w:after="0" w:line="360" w:lineRule="auto"/>
        <w:ind w:left="0" w:firstLine="360"/>
        <w:jc w:val="both"/>
        <w:rPr>
          <w:rFonts w:ascii="Times New Roman" w:eastAsia="Calibri" w:hAnsi="Times New Roman"/>
          <w:bCs/>
          <w:color w:val="000000"/>
          <w:sz w:val="28"/>
          <w:szCs w:val="28"/>
          <w:lang w:val="uk-UA"/>
        </w:rPr>
      </w:pPr>
      <w:r w:rsidRPr="009E77C1">
        <w:rPr>
          <w:rFonts w:ascii="Times New Roman" w:eastAsia="Calibri" w:hAnsi="Times New Roman"/>
          <w:bCs/>
          <w:color w:val="000000"/>
          <w:sz w:val="28"/>
          <w:szCs w:val="28"/>
          <w:lang w:val="uk-UA"/>
        </w:rPr>
        <w:t xml:space="preserve">Жабоєдова Н. В., Загорій Г. В., Ходаківський О. А. Скринінг церебропротекторних властивостей промислового зразка ампульного розчину 1-адамантилтилокси-3-морфоліно-2-пропанолу гідрохлориду («Адемол») на моделях гострого порушення мозкового кровотоку за геморагічним типом // Вісник морфології. 2016. Т. 22, № 1. С. 83–87. </w:t>
      </w:r>
    </w:p>
    <w:p w:rsidR="001F0A71" w:rsidRPr="009E77C1" w:rsidRDefault="001F0A71" w:rsidP="001F0A71">
      <w:pPr>
        <w:pStyle w:val="a5"/>
        <w:numPr>
          <w:ilvl w:val="0"/>
          <w:numId w:val="36"/>
        </w:numPr>
        <w:shd w:val="clear" w:color="auto" w:fill="FFFFFF"/>
        <w:spacing w:after="0" w:line="360" w:lineRule="auto"/>
        <w:ind w:left="0" w:firstLine="360"/>
        <w:jc w:val="both"/>
        <w:rPr>
          <w:rFonts w:ascii="Times New Roman" w:eastAsia="Calibri" w:hAnsi="Times New Roman"/>
          <w:bCs/>
          <w:color w:val="000000"/>
          <w:sz w:val="28"/>
          <w:szCs w:val="28"/>
          <w:lang w:val="uk-UA"/>
        </w:rPr>
      </w:pPr>
      <w:r w:rsidRPr="009E77C1">
        <w:rPr>
          <w:rFonts w:ascii="Times New Roman" w:eastAsia="Calibri" w:hAnsi="Times New Roman"/>
          <w:bCs/>
          <w:color w:val="000000"/>
          <w:sz w:val="28"/>
          <w:szCs w:val="28"/>
          <w:lang w:val="uk-UA"/>
        </w:rPr>
        <w:t xml:space="preserve">Ходаківський О. А., Жабоєдова Н. В., Рокунець І. Л., Загорій Г. В. Порівняльна оцінка впливу адемолу та німодипіну на церебральну гемодинаміку в корі головного мозку за умов експериментального субарахноїдального крововиливу // Світ медицини та біології. 2016. № 3(57) С. 150–153. </w:t>
      </w:r>
    </w:p>
    <w:p w:rsidR="001F0A71" w:rsidRPr="009E77C1" w:rsidRDefault="001F0A71" w:rsidP="001F0A71">
      <w:pPr>
        <w:pStyle w:val="a5"/>
        <w:numPr>
          <w:ilvl w:val="0"/>
          <w:numId w:val="36"/>
        </w:numPr>
        <w:shd w:val="clear" w:color="auto" w:fill="FFFFFF"/>
        <w:spacing w:after="0" w:line="360" w:lineRule="auto"/>
        <w:ind w:left="0" w:firstLine="360"/>
        <w:jc w:val="both"/>
        <w:rPr>
          <w:rFonts w:ascii="Times New Roman" w:eastAsia="Calibri" w:hAnsi="Times New Roman"/>
          <w:bCs/>
          <w:color w:val="000000"/>
          <w:sz w:val="28"/>
          <w:szCs w:val="28"/>
          <w:lang w:val="uk-UA"/>
        </w:rPr>
      </w:pPr>
      <w:r w:rsidRPr="009E77C1">
        <w:rPr>
          <w:rFonts w:ascii="Times New Roman" w:eastAsia="Calibri" w:hAnsi="Times New Roman"/>
          <w:bCs/>
          <w:color w:val="000000"/>
          <w:sz w:val="28"/>
          <w:szCs w:val="28"/>
          <w:lang w:val="uk-UA"/>
        </w:rPr>
        <w:t>Жабоєдова Н. В. Характеристика показників центральної гемодинаміки, внутрішньочерепного тиску та мікроциркуляції в капілярах кори головного мозку у щурів із різними підтипами геморагічного інсульту та тлі інфузії розчинів Адемолу або німодиіну // Biomedicalandbiosocialanthropology. 2016. № 27. С. 62–67.</w:t>
      </w:r>
    </w:p>
    <w:p w:rsidR="001F0A71" w:rsidRPr="009E77C1" w:rsidRDefault="001F0A71" w:rsidP="001F0A71">
      <w:pPr>
        <w:pStyle w:val="a5"/>
        <w:numPr>
          <w:ilvl w:val="0"/>
          <w:numId w:val="36"/>
        </w:numPr>
        <w:shd w:val="clear" w:color="auto" w:fill="FFFFFF"/>
        <w:spacing w:after="0" w:line="360" w:lineRule="auto"/>
        <w:ind w:left="0" w:firstLine="425"/>
        <w:jc w:val="both"/>
        <w:rPr>
          <w:rFonts w:ascii="Times New Roman" w:hAnsi="Times New Roman"/>
          <w:bCs/>
          <w:sz w:val="28"/>
          <w:szCs w:val="28"/>
          <w:lang w:val="uk-UA"/>
        </w:rPr>
      </w:pPr>
      <w:r w:rsidRPr="009E77C1">
        <w:rPr>
          <w:rFonts w:ascii="Times New Roman" w:hAnsi="Times New Roman"/>
          <w:bCs/>
          <w:sz w:val="28"/>
          <w:szCs w:val="28"/>
          <w:lang w:val="uk-UA"/>
        </w:rPr>
        <w:t xml:space="preserve">Жабоєдова Н. В., Ходаківський О. А. Дослідження метаболічних процесів у головному мозку за умов геморагічного інсульту на тлі фармакотерапії адемолом // Вісник Вінницького Національного медичного університету </w:t>
      </w:r>
      <w:r w:rsidRPr="00904F67">
        <w:rPr>
          <w:rFonts w:ascii="Times New Roman" w:hAnsi="Times New Roman"/>
          <w:sz w:val="28"/>
          <w:szCs w:val="28"/>
          <w:lang w:val="uk-UA"/>
        </w:rPr>
        <w:t>імені М. І. Пирогова</w:t>
      </w:r>
      <w:r>
        <w:rPr>
          <w:rFonts w:ascii="Times New Roman" w:hAnsi="Times New Roman"/>
          <w:sz w:val="28"/>
          <w:szCs w:val="28"/>
          <w:lang w:val="uk-UA"/>
        </w:rPr>
        <w:t>.</w:t>
      </w:r>
      <w:r w:rsidRPr="009E77C1">
        <w:rPr>
          <w:rFonts w:ascii="Times New Roman" w:hAnsi="Times New Roman"/>
          <w:bCs/>
          <w:sz w:val="28"/>
          <w:szCs w:val="28"/>
          <w:lang w:val="uk-UA"/>
        </w:rPr>
        <w:t xml:space="preserve"> 2019. №3(23). С. 360</w:t>
      </w:r>
      <w:r w:rsidRPr="009E77C1">
        <w:rPr>
          <w:rFonts w:ascii="Times New Roman" w:eastAsia="Calibri" w:hAnsi="Times New Roman"/>
          <w:bCs/>
          <w:color w:val="000000"/>
          <w:sz w:val="28"/>
          <w:szCs w:val="28"/>
          <w:lang w:val="uk-UA"/>
        </w:rPr>
        <w:t>–</w:t>
      </w:r>
      <w:r w:rsidRPr="009E77C1">
        <w:rPr>
          <w:rFonts w:ascii="Times New Roman" w:hAnsi="Times New Roman"/>
          <w:bCs/>
          <w:sz w:val="28"/>
          <w:szCs w:val="28"/>
          <w:lang w:val="uk-UA"/>
        </w:rPr>
        <w:t>367.</w:t>
      </w:r>
    </w:p>
    <w:p w:rsidR="001F0A71" w:rsidRPr="00747832" w:rsidRDefault="001F0A71" w:rsidP="001F0A71">
      <w:pPr>
        <w:pStyle w:val="a5"/>
        <w:numPr>
          <w:ilvl w:val="0"/>
          <w:numId w:val="36"/>
        </w:numPr>
        <w:shd w:val="clear" w:color="auto" w:fill="FFFFFF"/>
        <w:spacing w:after="0" w:line="360" w:lineRule="auto"/>
        <w:ind w:left="0" w:firstLine="425"/>
        <w:jc w:val="both"/>
        <w:rPr>
          <w:rFonts w:ascii="Times New Roman" w:hAnsi="Times New Roman"/>
          <w:bCs/>
          <w:sz w:val="28"/>
          <w:szCs w:val="28"/>
          <w:lang w:val="uk-UA"/>
        </w:rPr>
      </w:pPr>
      <w:r w:rsidRPr="00747832">
        <w:rPr>
          <w:rFonts w:ascii="Times New Roman" w:hAnsi="Times New Roman"/>
          <w:bCs/>
          <w:sz w:val="28"/>
          <w:szCs w:val="28"/>
          <w:lang w:val="uk-UA"/>
        </w:rPr>
        <w:t>Voloshchuk N., Zhaboiedova N. Evaluationofthecerebroprotectiveactionof 1-adamantyloxy-3morpholino-2-propanol hydrochlorideinratswithexperimentalhemorrhagicstrokeaccording to thedynamicsofneurocytolysis, neuroapoptosisandneuroproliferationmarkers. BiologicalMarker. 2020. Vol. 4, № 2. P. 13–19.</w:t>
      </w:r>
    </w:p>
    <w:p w:rsidR="001F0A71" w:rsidRPr="00747832" w:rsidRDefault="001F0A71" w:rsidP="001F0A71">
      <w:pPr>
        <w:pStyle w:val="a5"/>
        <w:shd w:val="clear" w:color="auto" w:fill="FFFFFF"/>
        <w:spacing w:after="0" w:line="360" w:lineRule="auto"/>
        <w:ind w:left="425"/>
        <w:jc w:val="both"/>
        <w:rPr>
          <w:rFonts w:ascii="Times New Roman" w:hAnsi="Times New Roman"/>
          <w:bCs/>
          <w:sz w:val="28"/>
          <w:szCs w:val="28"/>
          <w:lang w:val="uk-UA"/>
        </w:rPr>
      </w:pPr>
    </w:p>
    <w:p w:rsidR="001F0A71" w:rsidRPr="0026450D" w:rsidRDefault="001F0A71" w:rsidP="001F0A71">
      <w:pPr>
        <w:pStyle w:val="a5"/>
        <w:shd w:val="clear" w:color="auto" w:fill="FFFFFF"/>
        <w:spacing w:after="0" w:line="360" w:lineRule="auto"/>
        <w:ind w:left="425"/>
        <w:jc w:val="both"/>
        <w:rPr>
          <w:rFonts w:ascii="Times New Roman" w:hAnsi="Times New Roman"/>
          <w:b/>
          <w:sz w:val="28"/>
          <w:szCs w:val="28"/>
          <w:lang w:val="uk-UA"/>
        </w:rPr>
      </w:pPr>
    </w:p>
    <w:p w:rsidR="001F0A71" w:rsidRDefault="001F0A71" w:rsidP="001F0A71">
      <w:pPr>
        <w:spacing w:after="160" w:line="259" w:lineRule="auto"/>
        <w:rPr>
          <w:rFonts w:ascii="Times New Roman" w:hAnsi="Times New Roman"/>
          <w:b/>
          <w:sz w:val="28"/>
          <w:lang w:val="uk-UA"/>
        </w:rPr>
      </w:pPr>
      <w:r>
        <w:rPr>
          <w:rFonts w:ascii="Times New Roman" w:hAnsi="Times New Roman"/>
          <w:b/>
          <w:sz w:val="28"/>
          <w:lang w:val="uk-UA"/>
        </w:rPr>
        <w:br w:type="page"/>
      </w:r>
    </w:p>
    <w:p w:rsidR="001F0A71" w:rsidRPr="00EC22BC" w:rsidRDefault="001F0A71" w:rsidP="001F0A71">
      <w:pPr>
        <w:pStyle w:val="a5"/>
        <w:shd w:val="clear" w:color="auto" w:fill="FFFFFF"/>
        <w:spacing w:after="0" w:line="360" w:lineRule="auto"/>
        <w:ind w:left="425" w:hanging="425"/>
        <w:jc w:val="center"/>
        <w:rPr>
          <w:rFonts w:ascii="Times New Roman" w:hAnsi="Times New Roman"/>
          <w:b/>
          <w:i/>
          <w:iCs/>
          <w:sz w:val="28"/>
          <w:lang w:val="uk-UA"/>
        </w:rPr>
      </w:pPr>
      <w:r w:rsidRPr="00EC22BC">
        <w:rPr>
          <w:rFonts w:ascii="Times New Roman" w:hAnsi="Times New Roman"/>
          <w:b/>
          <w:i/>
          <w:iCs/>
          <w:sz w:val="28"/>
          <w:lang w:val="uk-UA"/>
        </w:rPr>
        <w:lastRenderedPageBreak/>
        <w:t>ДОДАТОК 2</w:t>
      </w:r>
    </w:p>
    <w:p w:rsidR="001F0A71" w:rsidRPr="00EC22BC" w:rsidRDefault="001F0A71" w:rsidP="001F0A71">
      <w:pPr>
        <w:pStyle w:val="a5"/>
        <w:shd w:val="clear" w:color="auto" w:fill="FFFFFF"/>
        <w:spacing w:after="0" w:line="360" w:lineRule="auto"/>
        <w:ind w:left="425" w:hanging="425"/>
        <w:jc w:val="center"/>
        <w:rPr>
          <w:rFonts w:ascii="Times New Roman" w:hAnsi="Times New Roman"/>
          <w:b/>
          <w:sz w:val="36"/>
          <w:szCs w:val="28"/>
          <w:lang w:val="uk-UA"/>
        </w:rPr>
      </w:pPr>
      <w:r w:rsidRPr="00EC22BC">
        <w:rPr>
          <w:rFonts w:ascii="Times New Roman" w:hAnsi="Times New Roman"/>
          <w:b/>
          <w:sz w:val="28"/>
          <w:lang w:val="uk-UA"/>
        </w:rPr>
        <w:t>АПРОБАЦІЯ РЕЗУЛЬТАТІВ ДИСЕРТАЦІЇ</w:t>
      </w:r>
    </w:p>
    <w:p w:rsidR="001F0A71" w:rsidRPr="0026450D" w:rsidRDefault="001F0A71" w:rsidP="001F0A71">
      <w:pPr>
        <w:pStyle w:val="a5"/>
        <w:numPr>
          <w:ilvl w:val="0"/>
          <w:numId w:val="1"/>
        </w:numPr>
        <w:tabs>
          <w:tab w:val="left" w:pos="-1080"/>
          <w:tab w:val="left" w:pos="0"/>
        </w:tabs>
        <w:spacing w:after="0" w:line="360" w:lineRule="auto"/>
        <w:ind w:left="0" w:firstLine="284"/>
        <w:jc w:val="both"/>
        <w:rPr>
          <w:rFonts w:ascii="Times New Roman" w:hAnsi="Times New Roman"/>
          <w:sz w:val="28"/>
          <w:lang w:val="uk-UA"/>
        </w:rPr>
      </w:pPr>
      <w:r w:rsidRPr="0026450D">
        <w:rPr>
          <w:rFonts w:ascii="Times New Roman" w:hAnsi="Times New Roman"/>
          <w:sz w:val="28"/>
          <w:szCs w:val="28"/>
          <w:lang w:val="uk-UA"/>
        </w:rPr>
        <w:t xml:space="preserve">Оцінка ефективності експериментальної терапії геморагічного інсульту промисловим зразком ампульного розчину 1-адамантилетилокси-3-морфоліно-2-пропанолу гідрохлориду ("Адемол") за активністю маркера нейродеструкції нейрон-специфічної енолази / Н. В. Жабоєдова и др. Фармація </w:t>
      </w:r>
      <w:r w:rsidRPr="0026450D">
        <w:rPr>
          <w:rFonts w:ascii="Times New Roman" w:hAnsi="Times New Roman"/>
          <w:sz w:val="28"/>
          <w:szCs w:val="28"/>
        </w:rPr>
        <w:t>XXI</w:t>
      </w:r>
      <w:r w:rsidRPr="0026450D">
        <w:rPr>
          <w:rFonts w:ascii="Times New Roman" w:hAnsi="Times New Roman"/>
          <w:sz w:val="28"/>
          <w:szCs w:val="28"/>
          <w:lang w:val="uk-UA"/>
        </w:rPr>
        <w:t xml:space="preserve"> століття: тенденції та перспективи : матеріали </w:t>
      </w:r>
      <w:r w:rsidRPr="0026450D">
        <w:rPr>
          <w:rFonts w:ascii="Times New Roman" w:hAnsi="Times New Roman"/>
          <w:sz w:val="28"/>
          <w:szCs w:val="28"/>
        </w:rPr>
        <w:t>V</w:t>
      </w:r>
      <w:r w:rsidRPr="0026450D">
        <w:rPr>
          <w:rFonts w:ascii="Times New Roman" w:hAnsi="Times New Roman"/>
          <w:sz w:val="28"/>
          <w:szCs w:val="28"/>
          <w:lang w:val="uk-UA"/>
        </w:rPr>
        <w:t>ІІІ Нац</w:t>
      </w:r>
      <w:r>
        <w:rPr>
          <w:rFonts w:ascii="Times New Roman" w:hAnsi="Times New Roman"/>
          <w:sz w:val="28"/>
          <w:szCs w:val="28"/>
          <w:lang w:val="uk-UA"/>
        </w:rPr>
        <w:t>іонального</w:t>
      </w:r>
      <w:r w:rsidRPr="0026450D">
        <w:rPr>
          <w:rFonts w:ascii="Times New Roman" w:hAnsi="Times New Roman"/>
          <w:sz w:val="28"/>
          <w:szCs w:val="28"/>
          <w:lang w:val="uk-UA"/>
        </w:rPr>
        <w:t xml:space="preserve"> з’їзду фармацевтів України (м. Харків, 13</w:t>
      </w:r>
      <w:r w:rsidRPr="0026450D">
        <w:rPr>
          <w:rFonts w:ascii="Times New Roman" w:hAnsi="Times New Roman"/>
          <w:bCs/>
          <w:sz w:val="28"/>
          <w:szCs w:val="28"/>
          <w:lang w:val="uk-UA"/>
        </w:rPr>
        <w:t>–</w:t>
      </w:r>
      <w:r w:rsidRPr="0026450D">
        <w:rPr>
          <w:rFonts w:ascii="Times New Roman" w:hAnsi="Times New Roman"/>
          <w:sz w:val="28"/>
          <w:szCs w:val="28"/>
          <w:lang w:val="uk-UA"/>
        </w:rPr>
        <w:t xml:space="preserve">16 вересня 2016 р.): у 2 т. Т. 2 // </w:t>
      </w:r>
      <w:r w:rsidRPr="00904F67">
        <w:rPr>
          <w:rFonts w:ascii="Times New Roman" w:hAnsi="Times New Roman"/>
          <w:sz w:val="28"/>
          <w:szCs w:val="28"/>
          <w:lang w:val="uk-UA"/>
        </w:rPr>
        <w:t>Міністерство охорони здоров'я України, Нац</w:t>
      </w:r>
      <w:r>
        <w:rPr>
          <w:rFonts w:ascii="Times New Roman" w:hAnsi="Times New Roman"/>
          <w:sz w:val="28"/>
          <w:szCs w:val="28"/>
          <w:lang w:val="uk-UA"/>
        </w:rPr>
        <w:t>іональнийф</w:t>
      </w:r>
      <w:r w:rsidRPr="00904F67">
        <w:rPr>
          <w:rFonts w:ascii="Times New Roman" w:hAnsi="Times New Roman"/>
          <w:sz w:val="28"/>
          <w:szCs w:val="28"/>
          <w:lang w:val="uk-UA"/>
        </w:rPr>
        <w:t>армац</w:t>
      </w:r>
      <w:r>
        <w:rPr>
          <w:rFonts w:ascii="Times New Roman" w:hAnsi="Times New Roman"/>
          <w:sz w:val="28"/>
          <w:szCs w:val="28"/>
          <w:lang w:val="uk-UA"/>
        </w:rPr>
        <w:t>евтичний</w:t>
      </w:r>
      <w:r w:rsidRPr="00904F67">
        <w:rPr>
          <w:rFonts w:ascii="Times New Roman" w:hAnsi="Times New Roman"/>
          <w:sz w:val="28"/>
          <w:szCs w:val="28"/>
          <w:lang w:val="uk-UA"/>
        </w:rPr>
        <w:t xml:space="preserve"> ун</w:t>
      </w:r>
      <w:r>
        <w:rPr>
          <w:rFonts w:ascii="Times New Roman" w:hAnsi="Times New Roman"/>
          <w:sz w:val="28"/>
          <w:szCs w:val="28"/>
          <w:lang w:val="uk-UA"/>
        </w:rPr>
        <w:t>іверситет</w:t>
      </w:r>
      <w:r w:rsidRPr="00904F67">
        <w:rPr>
          <w:rFonts w:ascii="Times New Roman" w:hAnsi="Times New Roman"/>
          <w:sz w:val="28"/>
          <w:szCs w:val="28"/>
          <w:lang w:val="uk-UA"/>
        </w:rPr>
        <w:t>; ред. кол.: В. П. Черних (голова) та ін.; уклад.: С. Ю. Данильченко та ін. Харків; НФаУ, 2016. С. 120–121.</w:t>
      </w:r>
    </w:p>
    <w:p w:rsidR="001F0A71" w:rsidRPr="0026450D" w:rsidRDefault="001F0A71" w:rsidP="001F0A71">
      <w:pPr>
        <w:pStyle w:val="a5"/>
        <w:numPr>
          <w:ilvl w:val="0"/>
          <w:numId w:val="1"/>
        </w:numPr>
        <w:tabs>
          <w:tab w:val="left" w:pos="-1080"/>
          <w:tab w:val="left" w:pos="0"/>
        </w:tabs>
        <w:spacing w:after="0" w:line="360" w:lineRule="auto"/>
        <w:ind w:left="0" w:firstLine="284"/>
        <w:jc w:val="both"/>
        <w:rPr>
          <w:rFonts w:ascii="Times New Roman" w:hAnsi="Times New Roman"/>
          <w:sz w:val="28"/>
          <w:lang w:val="uk-UA"/>
        </w:rPr>
      </w:pPr>
      <w:bookmarkStart w:id="47" w:name="_Hlk59312428"/>
      <w:r w:rsidRPr="0026450D">
        <w:rPr>
          <w:rFonts w:ascii="Times New Roman" w:hAnsi="Times New Roman"/>
          <w:sz w:val="28"/>
          <w:szCs w:val="28"/>
          <w:lang w:val="uk-UA"/>
        </w:rPr>
        <w:t xml:space="preserve">Жабоєдова Н. В., Ходаківський О. А. Порівняльна оцінка церебропротекторної дії промислового зразка ампульного розчину 1-адамантилетилокси-3-морфоліно-2-пропанолу гідрохлориду ("Адемол"), амантадину та магнію сульфату при субарахноїдальному крововиливі у щурів за активністю нейрон-специфічної енолази. Фундаментальні та клінічні аспекти фармакології : </w:t>
      </w:r>
      <w:r w:rsidRPr="00B56721">
        <w:rPr>
          <w:rFonts w:ascii="Times New Roman" w:hAnsi="Times New Roman"/>
          <w:iCs/>
          <w:sz w:val="28"/>
          <w:szCs w:val="28"/>
          <w:lang w:val="uk-UA"/>
        </w:rPr>
        <w:t>тези доп</w:t>
      </w:r>
      <w:r>
        <w:rPr>
          <w:rFonts w:ascii="Times New Roman" w:hAnsi="Times New Roman"/>
          <w:iCs/>
          <w:sz w:val="28"/>
          <w:szCs w:val="28"/>
          <w:lang w:val="uk-UA"/>
        </w:rPr>
        <w:t>овідей</w:t>
      </w:r>
      <w:r w:rsidRPr="00B56721">
        <w:rPr>
          <w:rFonts w:ascii="Times New Roman" w:hAnsi="Times New Roman"/>
          <w:iCs/>
          <w:sz w:val="28"/>
          <w:szCs w:val="28"/>
          <w:lang w:val="uk-UA"/>
        </w:rPr>
        <w:t xml:space="preserve"> Всеукр</w:t>
      </w:r>
      <w:r>
        <w:rPr>
          <w:rFonts w:ascii="Times New Roman" w:hAnsi="Times New Roman"/>
          <w:iCs/>
          <w:sz w:val="28"/>
          <w:szCs w:val="28"/>
          <w:lang w:val="uk-UA"/>
        </w:rPr>
        <w:t>аїнської</w:t>
      </w:r>
      <w:r w:rsidRPr="00B56721">
        <w:rPr>
          <w:rFonts w:ascii="Times New Roman" w:hAnsi="Times New Roman"/>
          <w:iCs/>
          <w:sz w:val="28"/>
          <w:szCs w:val="28"/>
          <w:lang w:val="uk-UA"/>
        </w:rPr>
        <w:t xml:space="preserve"> наук</w:t>
      </w:r>
      <w:r>
        <w:rPr>
          <w:rFonts w:ascii="Times New Roman" w:hAnsi="Times New Roman"/>
          <w:iCs/>
          <w:sz w:val="28"/>
          <w:szCs w:val="28"/>
          <w:lang w:val="uk-UA"/>
        </w:rPr>
        <w:t>ово</w:t>
      </w:r>
      <w:r w:rsidRPr="00B56721">
        <w:rPr>
          <w:rFonts w:ascii="Times New Roman" w:hAnsi="Times New Roman"/>
          <w:iCs/>
          <w:sz w:val="28"/>
          <w:szCs w:val="28"/>
          <w:lang w:val="uk-UA"/>
        </w:rPr>
        <w:t>-практ</w:t>
      </w:r>
      <w:r>
        <w:rPr>
          <w:rFonts w:ascii="Times New Roman" w:hAnsi="Times New Roman"/>
          <w:iCs/>
          <w:sz w:val="28"/>
          <w:szCs w:val="28"/>
          <w:lang w:val="uk-UA"/>
        </w:rPr>
        <w:t>ичної</w:t>
      </w:r>
      <w:r w:rsidRPr="00B56721">
        <w:rPr>
          <w:rFonts w:ascii="Times New Roman" w:hAnsi="Times New Roman"/>
          <w:iCs/>
          <w:sz w:val="28"/>
          <w:szCs w:val="28"/>
          <w:lang w:val="uk-UA"/>
        </w:rPr>
        <w:t xml:space="preserve"> конфер</w:t>
      </w:r>
      <w:r>
        <w:rPr>
          <w:rFonts w:ascii="Times New Roman" w:hAnsi="Times New Roman"/>
          <w:iCs/>
          <w:sz w:val="28"/>
          <w:szCs w:val="28"/>
          <w:lang w:val="uk-UA"/>
        </w:rPr>
        <w:t>енції</w:t>
      </w:r>
      <w:r w:rsidRPr="00B56721">
        <w:rPr>
          <w:rFonts w:ascii="Times New Roman" w:hAnsi="Times New Roman"/>
          <w:iCs/>
          <w:sz w:val="28"/>
          <w:szCs w:val="28"/>
          <w:lang w:val="uk-UA"/>
        </w:rPr>
        <w:t xml:space="preserve"> з між</w:t>
      </w:r>
      <w:r>
        <w:rPr>
          <w:rFonts w:ascii="Times New Roman" w:hAnsi="Times New Roman"/>
          <w:iCs/>
          <w:sz w:val="28"/>
          <w:szCs w:val="28"/>
          <w:lang w:val="uk-UA"/>
        </w:rPr>
        <w:t>народною</w:t>
      </w:r>
      <w:r w:rsidRPr="00B56721">
        <w:rPr>
          <w:rFonts w:ascii="Times New Roman" w:hAnsi="Times New Roman"/>
          <w:iCs/>
          <w:sz w:val="28"/>
          <w:szCs w:val="28"/>
          <w:lang w:val="uk-UA"/>
        </w:rPr>
        <w:t xml:space="preserve"> уч</w:t>
      </w:r>
      <w:r>
        <w:rPr>
          <w:rFonts w:ascii="Times New Roman" w:hAnsi="Times New Roman"/>
          <w:iCs/>
          <w:sz w:val="28"/>
          <w:szCs w:val="28"/>
          <w:lang w:val="uk-UA"/>
        </w:rPr>
        <w:t>астю</w:t>
      </w:r>
      <w:r w:rsidRPr="00B56721">
        <w:rPr>
          <w:rFonts w:ascii="Times New Roman" w:hAnsi="Times New Roman"/>
          <w:iCs/>
          <w:sz w:val="28"/>
          <w:szCs w:val="28"/>
          <w:lang w:val="uk-UA"/>
        </w:rPr>
        <w:t>, пам’яті проф. В. В. Дунаєва (Запоріжжя, 24</w:t>
      </w:r>
      <w:r w:rsidRPr="00B56721">
        <w:rPr>
          <w:rFonts w:ascii="Times New Roman" w:hAnsi="Times New Roman"/>
          <w:bCs/>
          <w:sz w:val="28"/>
          <w:szCs w:val="28"/>
          <w:lang w:val="uk-UA"/>
        </w:rPr>
        <w:t>–</w:t>
      </w:r>
      <w:r w:rsidRPr="00B56721">
        <w:rPr>
          <w:rFonts w:ascii="Times New Roman" w:hAnsi="Times New Roman"/>
          <w:iCs/>
          <w:sz w:val="28"/>
          <w:szCs w:val="28"/>
          <w:lang w:val="uk-UA"/>
        </w:rPr>
        <w:t>25 листопада 2016 р.).</w:t>
      </w:r>
      <w:r w:rsidRPr="00B56721">
        <w:rPr>
          <w:rFonts w:ascii="Times New Roman" w:hAnsi="Times New Roman"/>
          <w:sz w:val="28"/>
          <w:szCs w:val="28"/>
          <w:lang w:val="uk-UA"/>
        </w:rPr>
        <w:t>Запоріжжя : Запоріжський ДМУ, 2016. С. 43.</w:t>
      </w:r>
      <w:bookmarkEnd w:id="47"/>
    </w:p>
    <w:p w:rsidR="001F0A71" w:rsidRPr="0026450D" w:rsidRDefault="001F0A71" w:rsidP="001F0A71">
      <w:pPr>
        <w:pStyle w:val="11"/>
        <w:numPr>
          <w:ilvl w:val="0"/>
          <w:numId w:val="1"/>
        </w:numPr>
        <w:tabs>
          <w:tab w:val="left" w:pos="-1080"/>
          <w:tab w:val="left" w:pos="0"/>
          <w:tab w:val="left" w:pos="567"/>
          <w:tab w:val="left" w:pos="1701"/>
        </w:tabs>
        <w:spacing w:line="360" w:lineRule="auto"/>
        <w:ind w:left="0" w:firstLine="284"/>
        <w:jc w:val="both"/>
        <w:rPr>
          <w:sz w:val="28"/>
          <w:szCs w:val="28"/>
          <w:lang w:val="uk-UA"/>
        </w:rPr>
      </w:pPr>
      <w:bookmarkStart w:id="48" w:name="_Hlk59312451"/>
      <w:r w:rsidRPr="0026450D">
        <w:rPr>
          <w:sz w:val="28"/>
          <w:szCs w:val="28"/>
          <w:lang w:val="uk-UA"/>
        </w:rPr>
        <w:t xml:space="preserve">Застосування комплексного патогенетично-обґрунтованого підходу до вивчення ефективності потенційних цитопротекторів при ішеміко-гіпоксичному, токсичному або травматичному ураженні серця, печінки, нирок, органа зору, центральної та периферичної нервової системи (нерви щелепно-лицьової ділянки, тощо) / Ходаківський О. А. та ін. Сучасні аспекти клінічної фармакології на тлі досягнень доказової медицини України : </w:t>
      </w:r>
      <w:r w:rsidRPr="00B56721">
        <w:rPr>
          <w:iCs/>
          <w:sz w:val="28"/>
          <w:szCs w:val="28"/>
          <w:lang w:val="uk-UA"/>
        </w:rPr>
        <w:t>матеріали ІХ Всеукр</w:t>
      </w:r>
      <w:r>
        <w:rPr>
          <w:iCs/>
          <w:sz w:val="28"/>
          <w:szCs w:val="28"/>
          <w:lang w:val="uk-UA"/>
        </w:rPr>
        <w:t>аїнської</w:t>
      </w:r>
      <w:r w:rsidRPr="00B56721">
        <w:rPr>
          <w:iCs/>
          <w:sz w:val="28"/>
          <w:szCs w:val="28"/>
          <w:lang w:val="uk-UA"/>
        </w:rPr>
        <w:t xml:space="preserve"> наук</w:t>
      </w:r>
      <w:r>
        <w:rPr>
          <w:iCs/>
          <w:sz w:val="28"/>
          <w:szCs w:val="28"/>
          <w:lang w:val="uk-UA"/>
        </w:rPr>
        <w:t>ово</w:t>
      </w:r>
      <w:r w:rsidRPr="00B56721">
        <w:rPr>
          <w:iCs/>
          <w:sz w:val="28"/>
          <w:szCs w:val="28"/>
          <w:lang w:val="uk-UA"/>
        </w:rPr>
        <w:t>-практ</w:t>
      </w:r>
      <w:r>
        <w:rPr>
          <w:iCs/>
          <w:sz w:val="28"/>
          <w:szCs w:val="28"/>
          <w:lang w:val="uk-UA"/>
        </w:rPr>
        <w:t>ичної</w:t>
      </w:r>
      <w:r w:rsidRPr="00B56721">
        <w:rPr>
          <w:iCs/>
          <w:sz w:val="28"/>
          <w:szCs w:val="28"/>
          <w:lang w:val="uk-UA"/>
        </w:rPr>
        <w:t xml:space="preserve"> конфер</w:t>
      </w:r>
      <w:r>
        <w:rPr>
          <w:iCs/>
          <w:sz w:val="28"/>
          <w:szCs w:val="28"/>
          <w:lang w:val="uk-UA"/>
        </w:rPr>
        <w:t>енції</w:t>
      </w:r>
      <w:r w:rsidRPr="00B56721">
        <w:rPr>
          <w:iCs/>
          <w:sz w:val="28"/>
          <w:szCs w:val="28"/>
          <w:lang w:val="uk-UA"/>
        </w:rPr>
        <w:t xml:space="preserve"> з між</w:t>
      </w:r>
      <w:r>
        <w:rPr>
          <w:iCs/>
          <w:sz w:val="28"/>
          <w:szCs w:val="28"/>
          <w:lang w:val="uk-UA"/>
        </w:rPr>
        <w:t>народною</w:t>
      </w:r>
      <w:r w:rsidRPr="00B56721">
        <w:rPr>
          <w:iCs/>
          <w:sz w:val="28"/>
          <w:szCs w:val="28"/>
          <w:lang w:val="uk-UA"/>
        </w:rPr>
        <w:t xml:space="preserve"> уч</w:t>
      </w:r>
      <w:r>
        <w:rPr>
          <w:iCs/>
          <w:sz w:val="28"/>
          <w:szCs w:val="28"/>
          <w:lang w:val="uk-UA"/>
        </w:rPr>
        <w:t>астю</w:t>
      </w:r>
      <w:r w:rsidRPr="00B56721">
        <w:rPr>
          <w:iCs/>
          <w:sz w:val="28"/>
          <w:szCs w:val="28"/>
          <w:lang w:val="uk-UA"/>
        </w:rPr>
        <w:t xml:space="preserve"> (</w:t>
      </w:r>
      <w:r w:rsidRPr="00B56721">
        <w:rPr>
          <w:sz w:val="28"/>
          <w:szCs w:val="28"/>
          <w:lang w:val="uk-UA"/>
        </w:rPr>
        <w:t>Вінниця,</w:t>
      </w:r>
      <w:r w:rsidRPr="00B56721">
        <w:rPr>
          <w:iCs/>
          <w:sz w:val="28"/>
          <w:szCs w:val="28"/>
          <w:lang w:val="uk-UA"/>
        </w:rPr>
        <w:t xml:space="preserve"> 16–17 листопада 2017 р.). Вінниця : Нілан-ЛТД,</w:t>
      </w:r>
      <w:r w:rsidRPr="00B56721">
        <w:rPr>
          <w:sz w:val="28"/>
          <w:szCs w:val="28"/>
          <w:lang w:val="uk-UA"/>
        </w:rPr>
        <w:t xml:space="preserve"> 2017. С.</w:t>
      </w:r>
      <w:r>
        <w:rPr>
          <w:sz w:val="28"/>
          <w:szCs w:val="28"/>
          <w:lang w:val="uk-UA"/>
        </w:rPr>
        <w:t xml:space="preserve"> 269</w:t>
      </w:r>
      <w:r w:rsidRPr="00B56721">
        <w:rPr>
          <w:bCs/>
          <w:sz w:val="28"/>
          <w:szCs w:val="28"/>
          <w:lang w:val="uk-UA"/>
        </w:rPr>
        <w:t>–</w:t>
      </w:r>
      <w:r>
        <w:rPr>
          <w:sz w:val="28"/>
          <w:szCs w:val="28"/>
          <w:lang w:val="uk-UA"/>
        </w:rPr>
        <w:t>273.</w:t>
      </w:r>
      <w:bookmarkEnd w:id="48"/>
    </w:p>
    <w:p w:rsidR="001F0A71" w:rsidRPr="0026450D" w:rsidRDefault="001F0A71" w:rsidP="001F0A71">
      <w:pPr>
        <w:pStyle w:val="a5"/>
        <w:numPr>
          <w:ilvl w:val="0"/>
          <w:numId w:val="1"/>
        </w:numPr>
        <w:shd w:val="clear" w:color="auto" w:fill="FFFFFF"/>
        <w:tabs>
          <w:tab w:val="left" w:pos="567"/>
        </w:tabs>
        <w:spacing w:after="0" w:line="360" w:lineRule="auto"/>
        <w:ind w:left="0" w:firstLine="284"/>
        <w:jc w:val="both"/>
        <w:rPr>
          <w:rFonts w:ascii="Times New Roman" w:hAnsi="Times New Roman"/>
          <w:sz w:val="28"/>
          <w:szCs w:val="28"/>
          <w:lang w:val="uk-UA"/>
        </w:rPr>
      </w:pPr>
      <w:bookmarkStart w:id="49" w:name="_Hlk59312482"/>
      <w:r w:rsidRPr="0026450D">
        <w:rPr>
          <w:rFonts w:ascii="Times New Roman" w:hAnsi="Times New Roman"/>
          <w:sz w:val="28"/>
          <w:szCs w:val="28"/>
          <w:lang w:val="uk-UA"/>
        </w:rPr>
        <w:t xml:space="preserve">Жабоєдова Н. В., Ходаківський О. А. Дослідження неврологічного дефіциту у щурів із геморагічним інсультом на тлі терапії адемолом та оцінка його мнемотропної активності. Механізми розвитку патологічних процесів і хвороб та </w:t>
      </w:r>
      <w:r w:rsidRPr="0026450D">
        <w:rPr>
          <w:rFonts w:ascii="Times New Roman" w:hAnsi="Times New Roman"/>
          <w:sz w:val="28"/>
          <w:szCs w:val="28"/>
          <w:lang w:val="uk-UA"/>
        </w:rPr>
        <w:lastRenderedPageBreak/>
        <w:t xml:space="preserve">їхня фармакологічна корекція : </w:t>
      </w:r>
      <w:r w:rsidRPr="00087BAE">
        <w:rPr>
          <w:rFonts w:ascii="Times New Roman" w:hAnsi="Times New Roman"/>
          <w:iCs/>
          <w:sz w:val="28"/>
          <w:szCs w:val="28"/>
          <w:lang w:val="uk-UA"/>
        </w:rPr>
        <w:t>матеріали</w:t>
      </w:r>
      <w:r w:rsidRPr="00B56721">
        <w:rPr>
          <w:rFonts w:ascii="Times New Roman" w:hAnsi="Times New Roman"/>
          <w:iCs/>
          <w:sz w:val="28"/>
          <w:szCs w:val="28"/>
          <w:lang w:val="uk-UA"/>
        </w:rPr>
        <w:t xml:space="preserve"> І наук</w:t>
      </w:r>
      <w:r>
        <w:rPr>
          <w:rFonts w:ascii="Times New Roman" w:hAnsi="Times New Roman"/>
          <w:iCs/>
          <w:sz w:val="28"/>
          <w:szCs w:val="28"/>
          <w:lang w:val="uk-UA"/>
        </w:rPr>
        <w:t>ово</w:t>
      </w:r>
      <w:r w:rsidRPr="00B56721">
        <w:rPr>
          <w:rFonts w:ascii="Times New Roman" w:hAnsi="Times New Roman"/>
          <w:iCs/>
          <w:sz w:val="28"/>
          <w:szCs w:val="28"/>
          <w:lang w:val="uk-UA"/>
        </w:rPr>
        <w:t>-практ</w:t>
      </w:r>
      <w:r>
        <w:rPr>
          <w:rFonts w:ascii="Times New Roman" w:hAnsi="Times New Roman"/>
          <w:iCs/>
          <w:sz w:val="28"/>
          <w:szCs w:val="28"/>
          <w:lang w:val="uk-UA"/>
        </w:rPr>
        <w:t>ичної</w:t>
      </w:r>
      <w:r w:rsidRPr="00B56721">
        <w:rPr>
          <w:rFonts w:ascii="Times New Roman" w:hAnsi="Times New Roman"/>
          <w:iCs/>
          <w:sz w:val="28"/>
          <w:szCs w:val="28"/>
          <w:lang w:val="uk-UA"/>
        </w:rPr>
        <w:t xml:space="preserve"> інтернет-конфер</w:t>
      </w:r>
      <w:r>
        <w:rPr>
          <w:rFonts w:ascii="Times New Roman" w:hAnsi="Times New Roman"/>
          <w:iCs/>
          <w:sz w:val="28"/>
          <w:szCs w:val="28"/>
          <w:lang w:val="uk-UA"/>
        </w:rPr>
        <w:t>енції</w:t>
      </w:r>
      <w:r w:rsidRPr="00B56721">
        <w:rPr>
          <w:rFonts w:ascii="Times New Roman" w:hAnsi="Times New Roman"/>
          <w:iCs/>
          <w:sz w:val="28"/>
          <w:szCs w:val="28"/>
          <w:lang w:val="uk-UA"/>
        </w:rPr>
        <w:t xml:space="preserve"> з між</w:t>
      </w:r>
      <w:r>
        <w:rPr>
          <w:rFonts w:ascii="Times New Roman" w:hAnsi="Times New Roman"/>
          <w:iCs/>
          <w:sz w:val="28"/>
          <w:szCs w:val="28"/>
          <w:lang w:val="uk-UA"/>
        </w:rPr>
        <w:t>народною</w:t>
      </w:r>
      <w:r w:rsidRPr="00B56721">
        <w:rPr>
          <w:rFonts w:ascii="Times New Roman" w:hAnsi="Times New Roman"/>
          <w:iCs/>
          <w:sz w:val="28"/>
          <w:szCs w:val="28"/>
          <w:lang w:val="uk-UA"/>
        </w:rPr>
        <w:t xml:space="preserve"> уч</w:t>
      </w:r>
      <w:r>
        <w:rPr>
          <w:rFonts w:ascii="Times New Roman" w:hAnsi="Times New Roman"/>
          <w:iCs/>
          <w:sz w:val="28"/>
          <w:szCs w:val="28"/>
          <w:lang w:val="uk-UA"/>
        </w:rPr>
        <w:t>астю</w:t>
      </w:r>
      <w:r w:rsidRPr="00B56721">
        <w:rPr>
          <w:rFonts w:ascii="Times New Roman" w:hAnsi="Times New Roman"/>
          <w:iCs/>
          <w:sz w:val="28"/>
          <w:szCs w:val="28"/>
          <w:lang w:val="uk-UA"/>
        </w:rPr>
        <w:t>(18 жовтня 2018</w:t>
      </w:r>
      <w:r>
        <w:rPr>
          <w:rFonts w:ascii="Times New Roman" w:hAnsi="Times New Roman"/>
          <w:iCs/>
          <w:sz w:val="28"/>
          <w:szCs w:val="28"/>
          <w:lang w:val="uk-UA"/>
        </w:rPr>
        <w:t xml:space="preserve"> р.</w:t>
      </w:r>
      <w:r w:rsidRPr="00B56721">
        <w:rPr>
          <w:rFonts w:ascii="Times New Roman" w:hAnsi="Times New Roman"/>
          <w:iCs/>
          <w:sz w:val="28"/>
          <w:szCs w:val="28"/>
          <w:lang w:val="uk-UA"/>
        </w:rPr>
        <w:t>). Х. : НФаУ, 2018.С. 90</w:t>
      </w:r>
      <w:r w:rsidRPr="00B56721">
        <w:rPr>
          <w:rFonts w:ascii="Times New Roman" w:hAnsi="Times New Roman"/>
          <w:bCs/>
          <w:sz w:val="28"/>
          <w:szCs w:val="28"/>
          <w:lang w:val="uk-UA"/>
        </w:rPr>
        <w:t>–91</w:t>
      </w:r>
      <w:r>
        <w:rPr>
          <w:rFonts w:ascii="Times New Roman" w:hAnsi="Times New Roman"/>
          <w:bCs/>
          <w:sz w:val="28"/>
          <w:szCs w:val="28"/>
          <w:lang w:val="uk-UA"/>
        </w:rPr>
        <w:t>.</w:t>
      </w:r>
      <w:bookmarkEnd w:id="49"/>
    </w:p>
    <w:p w:rsidR="001F0A71" w:rsidRPr="0026450D" w:rsidRDefault="001F0A71" w:rsidP="001F0A71">
      <w:pPr>
        <w:pStyle w:val="a5"/>
        <w:numPr>
          <w:ilvl w:val="0"/>
          <w:numId w:val="1"/>
        </w:numPr>
        <w:shd w:val="clear" w:color="auto" w:fill="FFFFFF"/>
        <w:spacing w:after="0" w:line="360" w:lineRule="auto"/>
        <w:ind w:left="0" w:firstLine="284"/>
        <w:jc w:val="both"/>
        <w:rPr>
          <w:rFonts w:ascii="Times New Roman" w:hAnsi="Times New Roman"/>
          <w:sz w:val="28"/>
          <w:szCs w:val="28"/>
          <w:lang w:val="uk-UA"/>
        </w:rPr>
      </w:pPr>
      <w:bookmarkStart w:id="50" w:name="_Hlk59312505"/>
      <w:r w:rsidRPr="0026450D">
        <w:rPr>
          <w:rFonts w:ascii="Times New Roman" w:hAnsi="Times New Roman"/>
          <w:sz w:val="28"/>
          <w:szCs w:val="28"/>
          <w:lang w:val="uk-UA"/>
        </w:rPr>
        <w:t xml:space="preserve">Жабоєдова Н. В., Ходаківський О. А. Оцінка імуноферментрних та протоково-цитометричних маркерів церебропротекторної дії адемолу в умовах експериментального геморагічного інсульту за активністю процесів нейроцитолізу, нейроапоптозу та нейропроліферації. Механізми розвитку патологічних процесів і хвороб та їхня  фармакологічна корекція : </w:t>
      </w:r>
      <w:r w:rsidRPr="00B56721">
        <w:rPr>
          <w:rFonts w:ascii="Times New Roman" w:hAnsi="Times New Roman"/>
          <w:iCs/>
          <w:sz w:val="28"/>
          <w:szCs w:val="28"/>
          <w:lang w:val="uk-UA"/>
        </w:rPr>
        <w:t>тези доп</w:t>
      </w:r>
      <w:r>
        <w:rPr>
          <w:rFonts w:ascii="Times New Roman" w:hAnsi="Times New Roman"/>
          <w:iCs/>
          <w:sz w:val="28"/>
          <w:szCs w:val="28"/>
          <w:lang w:val="uk-UA"/>
        </w:rPr>
        <w:t>овідей</w:t>
      </w:r>
      <w:r w:rsidRPr="00B56721">
        <w:rPr>
          <w:rFonts w:ascii="Times New Roman" w:hAnsi="Times New Roman"/>
          <w:iCs/>
          <w:sz w:val="28"/>
          <w:szCs w:val="28"/>
          <w:lang w:val="uk-UA"/>
        </w:rPr>
        <w:t xml:space="preserve"> ІІ наук</w:t>
      </w:r>
      <w:r>
        <w:rPr>
          <w:rFonts w:ascii="Times New Roman" w:hAnsi="Times New Roman"/>
          <w:iCs/>
          <w:sz w:val="28"/>
          <w:szCs w:val="28"/>
          <w:lang w:val="uk-UA"/>
        </w:rPr>
        <w:t>ово</w:t>
      </w:r>
      <w:r w:rsidRPr="00B56721">
        <w:rPr>
          <w:rFonts w:ascii="Times New Roman" w:hAnsi="Times New Roman"/>
          <w:iCs/>
          <w:sz w:val="28"/>
          <w:szCs w:val="28"/>
          <w:lang w:val="uk-UA"/>
        </w:rPr>
        <w:t>-практ</w:t>
      </w:r>
      <w:r>
        <w:rPr>
          <w:rFonts w:ascii="Times New Roman" w:hAnsi="Times New Roman"/>
          <w:iCs/>
          <w:sz w:val="28"/>
          <w:szCs w:val="28"/>
          <w:lang w:val="uk-UA"/>
        </w:rPr>
        <w:t>ичної</w:t>
      </w:r>
      <w:r w:rsidRPr="00B56721">
        <w:rPr>
          <w:rFonts w:ascii="Times New Roman" w:hAnsi="Times New Roman"/>
          <w:iCs/>
          <w:sz w:val="28"/>
          <w:szCs w:val="28"/>
          <w:lang w:val="uk-UA"/>
        </w:rPr>
        <w:t xml:space="preserve"> інтернет-конфер</w:t>
      </w:r>
      <w:r>
        <w:rPr>
          <w:rFonts w:ascii="Times New Roman" w:hAnsi="Times New Roman"/>
          <w:iCs/>
          <w:sz w:val="28"/>
          <w:szCs w:val="28"/>
          <w:lang w:val="uk-UA"/>
        </w:rPr>
        <w:t>енції</w:t>
      </w:r>
      <w:r w:rsidRPr="00B56721">
        <w:rPr>
          <w:rFonts w:ascii="Times New Roman" w:hAnsi="Times New Roman"/>
          <w:iCs/>
          <w:sz w:val="28"/>
          <w:szCs w:val="28"/>
          <w:lang w:val="uk-UA"/>
        </w:rPr>
        <w:t xml:space="preserve"> з між</w:t>
      </w:r>
      <w:r>
        <w:rPr>
          <w:rFonts w:ascii="Times New Roman" w:hAnsi="Times New Roman"/>
          <w:iCs/>
          <w:sz w:val="28"/>
          <w:szCs w:val="28"/>
          <w:lang w:val="uk-UA"/>
        </w:rPr>
        <w:t>народною</w:t>
      </w:r>
      <w:r w:rsidRPr="00B56721">
        <w:rPr>
          <w:rFonts w:ascii="Times New Roman" w:hAnsi="Times New Roman"/>
          <w:iCs/>
          <w:sz w:val="28"/>
          <w:szCs w:val="28"/>
          <w:lang w:val="uk-UA"/>
        </w:rPr>
        <w:t xml:space="preserve"> уч</w:t>
      </w:r>
      <w:r>
        <w:rPr>
          <w:rFonts w:ascii="Times New Roman" w:hAnsi="Times New Roman"/>
          <w:iCs/>
          <w:sz w:val="28"/>
          <w:szCs w:val="28"/>
          <w:lang w:val="uk-UA"/>
        </w:rPr>
        <w:t>астю</w:t>
      </w:r>
      <w:r w:rsidRPr="00B56721">
        <w:rPr>
          <w:rFonts w:ascii="Times New Roman" w:hAnsi="Times New Roman"/>
          <w:iCs/>
          <w:sz w:val="28"/>
          <w:szCs w:val="28"/>
          <w:lang w:val="uk-UA"/>
        </w:rPr>
        <w:t xml:space="preserve"> (Харків, 21 листопада 2019 р.)</w:t>
      </w:r>
      <w:r w:rsidRPr="00B56721">
        <w:rPr>
          <w:rFonts w:ascii="Times New Roman" w:hAnsi="Times New Roman"/>
          <w:sz w:val="28"/>
          <w:szCs w:val="28"/>
          <w:lang w:val="uk-UA"/>
        </w:rPr>
        <w:t xml:space="preserve">. </w:t>
      </w:r>
      <w:r w:rsidRPr="00B56721">
        <w:rPr>
          <w:rFonts w:ascii="Times New Roman" w:hAnsi="Times New Roman"/>
          <w:iCs/>
          <w:sz w:val="28"/>
          <w:szCs w:val="28"/>
          <w:lang w:val="uk-UA"/>
        </w:rPr>
        <w:t>Х. : НФаУ, 2019. С. 153</w:t>
      </w:r>
      <w:r w:rsidRPr="00B56721">
        <w:rPr>
          <w:rFonts w:ascii="Times New Roman" w:hAnsi="Times New Roman"/>
          <w:bCs/>
          <w:sz w:val="28"/>
          <w:szCs w:val="28"/>
          <w:lang w:val="uk-UA"/>
        </w:rPr>
        <w:t>–154.</w:t>
      </w:r>
      <w:bookmarkEnd w:id="50"/>
    </w:p>
    <w:p w:rsidR="001F0A71" w:rsidRPr="0026450D" w:rsidRDefault="001F0A71" w:rsidP="001F0A71">
      <w:pPr>
        <w:pStyle w:val="a5"/>
        <w:numPr>
          <w:ilvl w:val="0"/>
          <w:numId w:val="1"/>
        </w:numPr>
        <w:shd w:val="clear" w:color="auto" w:fill="FFFFFF"/>
        <w:spacing w:after="0" w:line="360" w:lineRule="auto"/>
        <w:ind w:left="0" w:firstLine="284"/>
        <w:jc w:val="both"/>
        <w:rPr>
          <w:rFonts w:ascii="Times New Roman" w:hAnsi="Times New Roman"/>
          <w:sz w:val="28"/>
          <w:szCs w:val="28"/>
          <w:lang w:val="uk-UA"/>
        </w:rPr>
      </w:pPr>
      <w:bookmarkStart w:id="51" w:name="_Hlk59312528"/>
      <w:r w:rsidRPr="0026450D">
        <w:rPr>
          <w:rFonts w:ascii="Times New Roman" w:hAnsi="Times New Roman"/>
          <w:sz w:val="28"/>
          <w:szCs w:val="28"/>
          <w:lang w:val="uk-UA"/>
        </w:rPr>
        <w:t xml:space="preserve">Жабоєдова Н. В., Ходаківський О. А. Характеристика моделі геморагічного інсульту на прикладі доклінічної оцінки нейропротекторних властивостей адемолу. Сучасні аспекти клінічної фармакології на тлі досягнень доказової медицини України : </w:t>
      </w:r>
      <w:r w:rsidRPr="00B56721">
        <w:rPr>
          <w:rFonts w:ascii="Times New Roman" w:hAnsi="Times New Roman"/>
          <w:iCs/>
          <w:sz w:val="28"/>
          <w:szCs w:val="28"/>
          <w:lang w:val="uk-UA"/>
        </w:rPr>
        <w:t>матеріали Х Всеукр</w:t>
      </w:r>
      <w:r>
        <w:rPr>
          <w:rFonts w:ascii="Times New Roman" w:hAnsi="Times New Roman"/>
          <w:iCs/>
          <w:sz w:val="28"/>
          <w:szCs w:val="28"/>
          <w:lang w:val="uk-UA"/>
        </w:rPr>
        <w:t>аїнської</w:t>
      </w:r>
      <w:r w:rsidRPr="00B56721">
        <w:rPr>
          <w:rFonts w:ascii="Times New Roman" w:hAnsi="Times New Roman"/>
          <w:iCs/>
          <w:sz w:val="28"/>
          <w:szCs w:val="28"/>
          <w:lang w:val="uk-UA"/>
        </w:rPr>
        <w:t xml:space="preserve"> наук</w:t>
      </w:r>
      <w:r>
        <w:rPr>
          <w:rFonts w:ascii="Times New Roman" w:hAnsi="Times New Roman"/>
          <w:iCs/>
          <w:sz w:val="28"/>
          <w:szCs w:val="28"/>
          <w:lang w:val="uk-UA"/>
        </w:rPr>
        <w:t>ово</w:t>
      </w:r>
      <w:r w:rsidRPr="00B56721">
        <w:rPr>
          <w:rFonts w:ascii="Times New Roman" w:hAnsi="Times New Roman"/>
          <w:iCs/>
          <w:sz w:val="28"/>
          <w:szCs w:val="28"/>
          <w:lang w:val="uk-UA"/>
        </w:rPr>
        <w:t>-практ</w:t>
      </w:r>
      <w:r>
        <w:rPr>
          <w:rFonts w:ascii="Times New Roman" w:hAnsi="Times New Roman"/>
          <w:iCs/>
          <w:sz w:val="28"/>
          <w:szCs w:val="28"/>
          <w:lang w:val="uk-UA"/>
        </w:rPr>
        <w:t>ичної</w:t>
      </w:r>
      <w:r w:rsidRPr="00B56721">
        <w:rPr>
          <w:rFonts w:ascii="Times New Roman" w:hAnsi="Times New Roman"/>
          <w:iCs/>
          <w:sz w:val="28"/>
          <w:szCs w:val="28"/>
          <w:lang w:val="uk-UA"/>
        </w:rPr>
        <w:t xml:space="preserve"> конфер</w:t>
      </w:r>
      <w:r>
        <w:rPr>
          <w:rFonts w:ascii="Times New Roman" w:hAnsi="Times New Roman"/>
          <w:iCs/>
          <w:sz w:val="28"/>
          <w:szCs w:val="28"/>
          <w:lang w:val="uk-UA"/>
        </w:rPr>
        <w:t>енції</w:t>
      </w:r>
      <w:r w:rsidRPr="00B56721">
        <w:rPr>
          <w:rFonts w:ascii="Times New Roman" w:hAnsi="Times New Roman"/>
          <w:iCs/>
          <w:sz w:val="28"/>
          <w:szCs w:val="28"/>
          <w:lang w:val="uk-UA"/>
        </w:rPr>
        <w:t xml:space="preserve"> з між</w:t>
      </w:r>
      <w:r>
        <w:rPr>
          <w:rFonts w:ascii="Times New Roman" w:hAnsi="Times New Roman"/>
          <w:iCs/>
          <w:sz w:val="28"/>
          <w:szCs w:val="28"/>
          <w:lang w:val="uk-UA"/>
        </w:rPr>
        <w:t>народною</w:t>
      </w:r>
      <w:r w:rsidRPr="00B56721">
        <w:rPr>
          <w:rFonts w:ascii="Times New Roman" w:hAnsi="Times New Roman"/>
          <w:iCs/>
          <w:sz w:val="28"/>
          <w:szCs w:val="28"/>
          <w:lang w:val="uk-UA"/>
        </w:rPr>
        <w:t xml:space="preserve"> уч</w:t>
      </w:r>
      <w:r>
        <w:rPr>
          <w:rFonts w:ascii="Times New Roman" w:hAnsi="Times New Roman"/>
          <w:iCs/>
          <w:sz w:val="28"/>
          <w:szCs w:val="28"/>
          <w:lang w:val="uk-UA"/>
        </w:rPr>
        <w:t>астю</w:t>
      </w:r>
      <w:r w:rsidRPr="00B56721">
        <w:rPr>
          <w:rFonts w:ascii="Times New Roman" w:hAnsi="Times New Roman"/>
          <w:iCs/>
          <w:sz w:val="28"/>
          <w:szCs w:val="28"/>
          <w:lang w:val="uk-UA"/>
        </w:rPr>
        <w:t xml:space="preserve"> (Ві</w:t>
      </w:r>
      <w:r w:rsidRPr="00B56721">
        <w:rPr>
          <w:rFonts w:ascii="Times New Roman" w:hAnsi="Times New Roman"/>
          <w:sz w:val="28"/>
          <w:szCs w:val="28"/>
          <w:lang w:val="uk-UA"/>
        </w:rPr>
        <w:t xml:space="preserve">нниця, 7–8 листопада 2019 р.). Вінниця: </w:t>
      </w:r>
      <w:r w:rsidRPr="00E05D01">
        <w:rPr>
          <w:rFonts w:ascii="Times New Roman" w:hAnsi="Times New Roman"/>
          <w:sz w:val="28"/>
          <w:szCs w:val="28"/>
          <w:lang w:val="uk-UA"/>
        </w:rPr>
        <w:t>ТОВ «ТВОРИ»</w:t>
      </w:r>
      <w:r w:rsidRPr="007657DD">
        <w:rPr>
          <w:rFonts w:ascii="Times New Roman" w:hAnsi="Times New Roman"/>
          <w:sz w:val="28"/>
          <w:szCs w:val="28"/>
          <w:lang w:val="uk-UA"/>
        </w:rPr>
        <w:t>,</w:t>
      </w:r>
      <w:r w:rsidRPr="00B56721">
        <w:rPr>
          <w:rFonts w:ascii="Times New Roman" w:hAnsi="Times New Roman"/>
          <w:sz w:val="28"/>
          <w:szCs w:val="28"/>
          <w:lang w:val="uk-UA"/>
        </w:rPr>
        <w:t xml:space="preserve"> 2019.</w:t>
      </w:r>
      <w:r w:rsidRPr="00B56721">
        <w:rPr>
          <w:rFonts w:ascii="Times New Roman" w:hAnsi="Times New Roman"/>
          <w:iCs/>
          <w:sz w:val="28"/>
          <w:szCs w:val="28"/>
          <w:lang w:val="uk-UA"/>
        </w:rPr>
        <w:t>С.</w:t>
      </w:r>
      <w:r>
        <w:rPr>
          <w:rFonts w:ascii="Times New Roman" w:hAnsi="Times New Roman"/>
          <w:iCs/>
          <w:sz w:val="28"/>
          <w:szCs w:val="28"/>
          <w:lang w:val="uk-UA"/>
        </w:rPr>
        <w:t xml:space="preserve"> 68</w:t>
      </w:r>
      <w:r w:rsidRPr="00B56721">
        <w:rPr>
          <w:rFonts w:ascii="Times New Roman" w:hAnsi="Times New Roman"/>
          <w:bCs/>
          <w:sz w:val="28"/>
          <w:szCs w:val="28"/>
          <w:lang w:val="uk-UA"/>
        </w:rPr>
        <w:t>–</w:t>
      </w:r>
      <w:r>
        <w:rPr>
          <w:rFonts w:ascii="Times New Roman" w:hAnsi="Times New Roman"/>
          <w:iCs/>
          <w:sz w:val="28"/>
          <w:szCs w:val="28"/>
          <w:lang w:val="uk-UA"/>
        </w:rPr>
        <w:t>70.</w:t>
      </w:r>
      <w:bookmarkEnd w:id="51"/>
    </w:p>
    <w:p w:rsidR="001F0A71" w:rsidRPr="0026450D" w:rsidRDefault="001F0A71" w:rsidP="001F0A71">
      <w:pPr>
        <w:pStyle w:val="3"/>
        <w:widowControl w:val="0"/>
        <w:numPr>
          <w:ilvl w:val="0"/>
          <w:numId w:val="1"/>
        </w:numPr>
        <w:tabs>
          <w:tab w:val="left" w:pos="0"/>
        </w:tabs>
        <w:spacing w:after="0" w:line="360" w:lineRule="auto"/>
        <w:ind w:left="0" w:firstLine="284"/>
        <w:jc w:val="both"/>
        <w:rPr>
          <w:b/>
          <w:sz w:val="28"/>
          <w:szCs w:val="28"/>
          <w:lang w:val="uk-UA"/>
        </w:rPr>
      </w:pPr>
      <w:bookmarkStart w:id="52" w:name="_Hlk59312549"/>
      <w:r w:rsidRPr="0026450D">
        <w:rPr>
          <w:rFonts w:ascii="Times New Roman" w:hAnsi="Times New Roman"/>
          <w:sz w:val="28"/>
          <w:szCs w:val="28"/>
          <w:lang w:val="uk-UA"/>
        </w:rPr>
        <w:t xml:space="preserve">Жабоєдова Н. В. Оцінка церебропротекторної активності адемолу в умовах геморагічного інсульту у щурів. Перший крок в науку – 2020 : </w:t>
      </w:r>
      <w:r w:rsidRPr="00793788">
        <w:rPr>
          <w:rFonts w:ascii="Times New Roman" w:hAnsi="Times New Roman"/>
          <w:sz w:val="28"/>
          <w:szCs w:val="28"/>
          <w:lang w:val="uk-UA"/>
        </w:rPr>
        <w:t>тези доповідей XVII науково-практичної конференції студентів та молодих вчених з міжнародною участю (Вінниця, 8–10 квітня 2020 р.). Вінниця :  ФОП Корзун Д.Ю.,  2019. С. 487.</w:t>
      </w:r>
      <w:bookmarkEnd w:id="52"/>
    </w:p>
    <w:p w:rsidR="001F0A71" w:rsidRPr="0026450D" w:rsidRDefault="001F0A71" w:rsidP="001F0A71">
      <w:pPr>
        <w:spacing w:after="160" w:line="259" w:lineRule="auto"/>
        <w:rPr>
          <w:rFonts w:ascii="Times New Roman" w:hAnsi="Times New Roman"/>
          <w:sz w:val="28"/>
          <w:szCs w:val="28"/>
          <w:lang w:val="uk-UA"/>
        </w:rPr>
      </w:pPr>
      <w:r w:rsidRPr="0026450D">
        <w:rPr>
          <w:rFonts w:ascii="Times New Roman" w:hAnsi="Times New Roman"/>
          <w:sz w:val="28"/>
          <w:szCs w:val="28"/>
          <w:lang w:val="uk-UA"/>
        </w:rPr>
        <w:br w:type="page"/>
      </w:r>
    </w:p>
    <w:p w:rsidR="001F0A71" w:rsidRPr="00EC22BC" w:rsidRDefault="001F0A71" w:rsidP="001F0A71">
      <w:pPr>
        <w:pStyle w:val="a5"/>
        <w:shd w:val="clear" w:color="auto" w:fill="FFFFFF"/>
        <w:spacing w:after="0" w:line="360" w:lineRule="auto"/>
        <w:ind w:left="425" w:hanging="425"/>
        <w:jc w:val="center"/>
        <w:rPr>
          <w:rFonts w:ascii="Times New Roman" w:hAnsi="Times New Roman"/>
          <w:b/>
          <w:i/>
          <w:iCs/>
          <w:sz w:val="28"/>
          <w:lang w:val="uk-UA"/>
        </w:rPr>
      </w:pPr>
      <w:r w:rsidRPr="00EC22BC">
        <w:rPr>
          <w:rFonts w:ascii="Times New Roman" w:hAnsi="Times New Roman"/>
          <w:b/>
          <w:i/>
          <w:iCs/>
          <w:sz w:val="28"/>
          <w:lang w:val="uk-UA"/>
        </w:rPr>
        <w:lastRenderedPageBreak/>
        <w:t>ДОДАТОК 3</w:t>
      </w:r>
    </w:p>
    <w:p w:rsidR="001F0A71" w:rsidRPr="00EC22BC" w:rsidRDefault="001F0A71" w:rsidP="001F0A71">
      <w:pPr>
        <w:pStyle w:val="a5"/>
        <w:shd w:val="clear" w:color="auto" w:fill="FFFFFF"/>
        <w:spacing w:after="0" w:line="360" w:lineRule="auto"/>
        <w:ind w:left="425" w:hanging="425"/>
        <w:jc w:val="center"/>
        <w:rPr>
          <w:rFonts w:ascii="Times New Roman" w:hAnsi="Times New Roman"/>
          <w:b/>
          <w:sz w:val="28"/>
          <w:lang w:val="uk-UA"/>
        </w:rPr>
      </w:pPr>
      <w:r w:rsidRPr="00EC22BC">
        <w:rPr>
          <w:rFonts w:ascii="Times New Roman" w:hAnsi="Times New Roman"/>
          <w:b/>
          <w:sz w:val="28"/>
          <w:lang w:val="uk-UA"/>
        </w:rPr>
        <w:t>АКТИ ВПРОВАДЖЕНЬ</w:t>
      </w:r>
    </w:p>
    <w:p w:rsidR="001F0A71" w:rsidRDefault="005D5485" w:rsidP="001F0A71">
      <w:pPr>
        <w:jc w:val="right"/>
      </w:pPr>
      <w:r>
        <w:rPr>
          <w:noProof/>
        </w:rPr>
        <w:drawing>
          <wp:inline distT="0" distB="0" distL="0" distR="0">
            <wp:extent cx="5925820" cy="8371840"/>
            <wp:effectExtent l="0" t="0" r="0" b="0"/>
            <wp:docPr id="19" name="Рисунок 19" descr="Акт Днепр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Акт Днепр_page-0001"/>
                    <pic:cNvPicPr>
                      <a:picLocks noChangeAspect="1" noChangeArrowheads="1"/>
                    </pic:cNvPicPr>
                  </pic:nvPicPr>
                  <pic:blipFill>
                    <a:blip r:embed="rId8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25820" cy="8371840"/>
                    </a:xfrm>
                    <a:prstGeom prst="rect">
                      <a:avLst/>
                    </a:prstGeom>
                    <a:noFill/>
                    <a:ln>
                      <a:noFill/>
                    </a:ln>
                  </pic:spPr>
                </pic:pic>
              </a:graphicData>
            </a:graphic>
          </wp:inline>
        </w:drawing>
      </w:r>
    </w:p>
    <w:p w:rsidR="001F0A71" w:rsidRDefault="001F0A71" w:rsidP="005D5485">
      <w:pPr>
        <w:pStyle w:val="ae"/>
      </w:pPr>
      <w:r>
        <w:br w:type="page"/>
      </w:r>
      <w:r w:rsidR="005D5485">
        <w:rPr>
          <w:noProof/>
        </w:rPr>
        <w:lastRenderedPageBreak/>
        <w:drawing>
          <wp:inline distT="0" distB="0" distL="0" distR="0">
            <wp:extent cx="6073688" cy="874443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079015" cy="8752100"/>
                    </a:xfrm>
                    <a:prstGeom prst="rect">
                      <a:avLst/>
                    </a:prstGeom>
                    <a:noFill/>
                    <a:ln>
                      <a:noFill/>
                    </a:ln>
                  </pic:spPr>
                </pic:pic>
              </a:graphicData>
            </a:graphic>
          </wp:inline>
        </w:drawing>
      </w:r>
    </w:p>
    <w:p w:rsidR="001F0A71" w:rsidRDefault="001F0A71" w:rsidP="001F0A71">
      <w:pPr>
        <w:jc w:val="right"/>
      </w:pPr>
    </w:p>
    <w:p w:rsidR="001F0A71" w:rsidRDefault="001F0A71" w:rsidP="001F0A71">
      <w:pPr>
        <w:spacing w:after="160" w:line="259" w:lineRule="auto"/>
      </w:pPr>
      <w:r>
        <w:br w:type="page"/>
      </w:r>
      <w:r w:rsidR="005D5485">
        <w:rPr>
          <w:noProof/>
        </w:rPr>
        <w:lastRenderedPageBreak/>
        <w:drawing>
          <wp:inline distT="0" distB="0" distL="0" distR="0">
            <wp:extent cx="5937885" cy="8395970"/>
            <wp:effectExtent l="0" t="0" r="5715" b="5080"/>
            <wp:docPr id="20" name="Рисунок 20" descr="Акт Одеса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Акт Одеса_page-0001"/>
                    <pic:cNvPicPr>
                      <a:picLocks noChangeAspect="1" noChangeArrowheads="1"/>
                    </pic:cNvPicPr>
                  </pic:nvPicPr>
                  <pic:blipFill>
                    <a:blip r:embed="rId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37885" cy="8395970"/>
                    </a:xfrm>
                    <a:prstGeom prst="rect">
                      <a:avLst/>
                    </a:prstGeom>
                    <a:noFill/>
                    <a:ln>
                      <a:noFill/>
                    </a:ln>
                  </pic:spPr>
                </pic:pic>
              </a:graphicData>
            </a:graphic>
          </wp:inline>
        </w:drawing>
      </w:r>
    </w:p>
    <w:p w:rsidR="001F0A71" w:rsidRDefault="001F0A71" w:rsidP="001F0A71">
      <w:pPr>
        <w:jc w:val="right"/>
      </w:pPr>
    </w:p>
    <w:p w:rsidR="001F0A71" w:rsidRDefault="001F0A71" w:rsidP="001F0A71">
      <w:pPr>
        <w:spacing w:after="160" w:line="259" w:lineRule="auto"/>
      </w:pPr>
      <w:r>
        <w:br w:type="page"/>
      </w:r>
    </w:p>
    <w:p w:rsidR="001F0A71" w:rsidRDefault="005D5485" w:rsidP="001F0A71">
      <w:pPr>
        <w:jc w:val="center"/>
      </w:pPr>
      <w:r>
        <w:rPr>
          <w:noProof/>
        </w:rPr>
        <w:lastRenderedPageBreak/>
        <w:drawing>
          <wp:inline distT="0" distB="0" distL="0" distR="0">
            <wp:extent cx="5949315" cy="8775700"/>
            <wp:effectExtent l="0" t="0" r="0" b="6350"/>
            <wp:docPr id="17" name="Рисунок 17" descr="PHOTO-2021-03-29-11-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2021-03-29-11-52-33"/>
                    <pic:cNvPicPr>
                      <a:picLocks noChangeAspect="1" noChangeArrowheads="1"/>
                    </pic:cNvPicPr>
                  </pic:nvPicPr>
                  <pic:blipFill>
                    <a:blip r:embed="rId9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49315" cy="8775700"/>
                    </a:xfrm>
                    <a:prstGeom prst="rect">
                      <a:avLst/>
                    </a:prstGeom>
                    <a:noFill/>
                    <a:ln>
                      <a:noFill/>
                    </a:ln>
                  </pic:spPr>
                </pic:pic>
              </a:graphicData>
            </a:graphic>
          </wp:inline>
        </w:drawing>
      </w:r>
    </w:p>
    <w:p w:rsidR="001F0A71" w:rsidRDefault="001F0A71" w:rsidP="001F0A71">
      <w:pPr>
        <w:spacing w:after="160" w:line="259" w:lineRule="auto"/>
      </w:pPr>
      <w:r>
        <w:br w:type="page"/>
      </w:r>
    </w:p>
    <w:p w:rsidR="001F0A71" w:rsidRDefault="00F3530D" w:rsidP="001F0A71">
      <w:pPr>
        <w:spacing w:after="160" w:line="259" w:lineRule="auto"/>
      </w:pPr>
      <w:r>
        <w:rPr>
          <w:noProof/>
        </w:rPr>
        <w:lastRenderedPageBreak/>
        <w:drawing>
          <wp:inline distT="0" distB="0" distL="0" distR="0">
            <wp:extent cx="5931535" cy="8378190"/>
            <wp:effectExtent l="0" t="0" r="0" b="3810"/>
            <wp:docPr id="22" name="Рисунок 22" descr="Акт Тернополь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кт Тернополь_page-0001"/>
                    <pic:cNvPicPr>
                      <a:picLocks noChangeAspect="1" noChangeArrowheads="1"/>
                    </pic:cNvPicPr>
                  </pic:nvPicPr>
                  <pic:blipFill>
                    <a:blip r:embed="rId9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31535" cy="8378190"/>
                    </a:xfrm>
                    <a:prstGeom prst="rect">
                      <a:avLst/>
                    </a:prstGeom>
                    <a:noFill/>
                    <a:ln>
                      <a:noFill/>
                    </a:ln>
                  </pic:spPr>
                </pic:pic>
              </a:graphicData>
            </a:graphic>
          </wp:inline>
        </w:drawing>
      </w:r>
    </w:p>
    <w:p w:rsidR="00F3530D" w:rsidRDefault="00F3530D">
      <w:pPr>
        <w:spacing w:after="160" w:line="259" w:lineRule="auto"/>
        <w:rPr>
          <w:rFonts w:ascii="Times New Roman" w:hAnsi="Times New Roman"/>
          <w:b/>
          <w:i/>
          <w:iCs/>
          <w:sz w:val="28"/>
        </w:rPr>
      </w:pPr>
      <w:r>
        <w:rPr>
          <w:rFonts w:ascii="Times New Roman" w:hAnsi="Times New Roman"/>
          <w:b/>
          <w:i/>
          <w:iCs/>
          <w:sz w:val="28"/>
        </w:rPr>
        <w:br w:type="page"/>
      </w:r>
    </w:p>
    <w:p w:rsidR="001F0A71" w:rsidRPr="00EC22BC" w:rsidRDefault="001F0A71" w:rsidP="001F0A71">
      <w:pPr>
        <w:pStyle w:val="a5"/>
        <w:tabs>
          <w:tab w:val="left" w:pos="-1080"/>
          <w:tab w:val="left" w:pos="0"/>
        </w:tabs>
        <w:spacing w:after="0" w:line="360" w:lineRule="auto"/>
        <w:ind w:left="425" w:hanging="425"/>
        <w:jc w:val="center"/>
        <w:rPr>
          <w:rFonts w:ascii="Times New Roman" w:hAnsi="Times New Roman"/>
          <w:b/>
          <w:i/>
          <w:iCs/>
          <w:sz w:val="28"/>
          <w:lang w:val="uk-UA"/>
        </w:rPr>
      </w:pPr>
      <w:r w:rsidRPr="00EC22BC">
        <w:rPr>
          <w:rFonts w:ascii="Times New Roman" w:hAnsi="Times New Roman"/>
          <w:b/>
          <w:i/>
          <w:iCs/>
          <w:sz w:val="28"/>
        </w:rPr>
        <w:lastRenderedPageBreak/>
        <w:t xml:space="preserve">ДОДАТОК </w:t>
      </w:r>
      <w:r>
        <w:rPr>
          <w:rFonts w:ascii="Times New Roman" w:hAnsi="Times New Roman"/>
          <w:b/>
          <w:i/>
          <w:iCs/>
          <w:sz w:val="28"/>
          <w:lang w:val="uk-UA"/>
        </w:rPr>
        <w:t>4</w:t>
      </w:r>
    </w:p>
    <w:p w:rsidR="00000A7B" w:rsidRPr="001F0A71" w:rsidRDefault="005D5485" w:rsidP="001F0A71">
      <w:pPr>
        <w:jc w:val="center"/>
      </w:pPr>
      <w:r>
        <w:rPr>
          <w:noProof/>
        </w:rPr>
        <w:drawing>
          <wp:inline distT="0" distB="0" distL="0" distR="0">
            <wp:extent cx="5937885" cy="8383905"/>
            <wp:effectExtent l="0" t="0" r="5715" b="0"/>
            <wp:docPr id="21" name="Рисунок 21" descr="ЖАБОЄДОВА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ЖАБОЄДОВА_page-0001"/>
                    <pic:cNvPicPr>
                      <a:picLocks noChangeAspect="1" noChangeArrowheads="1"/>
                    </pic:cNvPicPr>
                  </pic:nvPicPr>
                  <pic:blipFill>
                    <a:blip r:embed="rId9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37885" cy="8383905"/>
                    </a:xfrm>
                    <a:prstGeom prst="rect">
                      <a:avLst/>
                    </a:prstGeom>
                    <a:noFill/>
                    <a:ln>
                      <a:noFill/>
                    </a:ln>
                  </pic:spPr>
                </pic:pic>
              </a:graphicData>
            </a:graphic>
          </wp:inline>
        </w:drawing>
      </w:r>
    </w:p>
    <w:sectPr w:rsidR="00000A7B" w:rsidRPr="001F0A71" w:rsidSect="00F957B1">
      <w:headerReference w:type="default" r:id="rId95"/>
      <w:pgSz w:w="11906" w:h="16838"/>
      <w:pgMar w:top="1134" w:right="567" w:bottom="1134" w:left="1134" w:header="709" w:footer="709" w:gutter="0"/>
      <w:pgNumType w:start="1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72C" w:rsidRDefault="00FF772C" w:rsidP="001F0A71">
      <w:pPr>
        <w:spacing w:after="0" w:line="240" w:lineRule="auto"/>
      </w:pPr>
      <w:r>
        <w:separator/>
      </w:r>
    </w:p>
  </w:endnote>
  <w:endnote w:type="continuationSeparator" w:id="1">
    <w:p w:rsidR="00FF772C" w:rsidRDefault="00FF772C" w:rsidP="001F0A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067" w:rsidRDefault="00360067">
    <w:pPr>
      <w:pStyle w:val="af3"/>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067" w:rsidRDefault="00360067">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72C" w:rsidRDefault="00FF772C" w:rsidP="001F0A71">
      <w:pPr>
        <w:spacing w:after="0" w:line="240" w:lineRule="auto"/>
      </w:pPr>
      <w:r>
        <w:separator/>
      </w:r>
    </w:p>
  </w:footnote>
  <w:footnote w:type="continuationSeparator" w:id="1">
    <w:p w:rsidR="00FF772C" w:rsidRDefault="00FF772C" w:rsidP="001F0A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7"/>
      </w:rPr>
      <w:id w:val="-1011526011"/>
      <w:docPartObj>
        <w:docPartGallery w:val="Page Numbers (Top of Page)"/>
        <w:docPartUnique/>
      </w:docPartObj>
    </w:sdtPr>
    <w:sdtContent>
      <w:p w:rsidR="00360067" w:rsidRDefault="00F9347E" w:rsidP="000615DD">
        <w:pPr>
          <w:pStyle w:val="a3"/>
          <w:framePr w:wrap="none" w:vAnchor="text" w:hAnchor="margin" w:xAlign="right" w:y="1"/>
          <w:rPr>
            <w:rStyle w:val="af7"/>
          </w:rPr>
        </w:pPr>
        <w:r>
          <w:rPr>
            <w:rStyle w:val="af7"/>
          </w:rPr>
          <w:fldChar w:fldCharType="begin"/>
        </w:r>
        <w:r w:rsidR="00360067">
          <w:rPr>
            <w:rStyle w:val="af7"/>
          </w:rPr>
          <w:instrText xml:space="preserve"> PAGE </w:instrText>
        </w:r>
        <w:r>
          <w:rPr>
            <w:rStyle w:val="af7"/>
          </w:rPr>
          <w:fldChar w:fldCharType="end"/>
        </w:r>
      </w:p>
    </w:sdtContent>
  </w:sdt>
  <w:sdt>
    <w:sdtPr>
      <w:rPr>
        <w:rStyle w:val="af7"/>
      </w:rPr>
      <w:id w:val="-125157018"/>
      <w:docPartObj>
        <w:docPartGallery w:val="Page Numbers (Top of Page)"/>
        <w:docPartUnique/>
      </w:docPartObj>
    </w:sdtPr>
    <w:sdtContent>
      <w:p w:rsidR="00360067" w:rsidRDefault="00F9347E" w:rsidP="00D27120">
        <w:pPr>
          <w:pStyle w:val="a3"/>
          <w:framePr w:wrap="none" w:vAnchor="text" w:hAnchor="margin" w:xAlign="right" w:y="1"/>
          <w:ind w:right="360"/>
          <w:rPr>
            <w:rStyle w:val="af7"/>
          </w:rPr>
        </w:pPr>
        <w:r>
          <w:rPr>
            <w:rStyle w:val="af7"/>
          </w:rPr>
          <w:fldChar w:fldCharType="begin"/>
        </w:r>
        <w:r w:rsidR="00360067">
          <w:rPr>
            <w:rStyle w:val="af7"/>
          </w:rPr>
          <w:instrText xml:space="preserve"> PAGE </w:instrText>
        </w:r>
        <w:r>
          <w:rPr>
            <w:rStyle w:val="af7"/>
          </w:rPr>
          <w:fldChar w:fldCharType="end"/>
        </w:r>
      </w:p>
    </w:sdtContent>
  </w:sdt>
  <w:p w:rsidR="00360067" w:rsidRDefault="00360067" w:rsidP="00FC420D">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7"/>
      </w:rPr>
      <w:id w:val="1205834724"/>
      <w:docPartObj>
        <w:docPartGallery w:val="Page Numbers (Top of Page)"/>
        <w:docPartUnique/>
      </w:docPartObj>
    </w:sdtPr>
    <w:sdtContent>
      <w:p w:rsidR="00360067" w:rsidRDefault="00F9347E" w:rsidP="000615DD">
        <w:pPr>
          <w:pStyle w:val="a3"/>
          <w:framePr w:wrap="none" w:vAnchor="text" w:hAnchor="margin" w:xAlign="right" w:y="1"/>
          <w:rPr>
            <w:rStyle w:val="af7"/>
          </w:rPr>
        </w:pPr>
        <w:r>
          <w:rPr>
            <w:rStyle w:val="af7"/>
          </w:rPr>
          <w:fldChar w:fldCharType="begin"/>
        </w:r>
        <w:r w:rsidR="00360067">
          <w:rPr>
            <w:rStyle w:val="af7"/>
          </w:rPr>
          <w:instrText xml:space="preserve"> PAGE </w:instrText>
        </w:r>
        <w:r>
          <w:rPr>
            <w:rStyle w:val="af7"/>
          </w:rPr>
          <w:fldChar w:fldCharType="separate"/>
        </w:r>
        <w:r w:rsidR="0031058F">
          <w:rPr>
            <w:rStyle w:val="af7"/>
            <w:noProof/>
          </w:rPr>
          <w:t>112</w:t>
        </w:r>
        <w:r>
          <w:rPr>
            <w:rStyle w:val="af7"/>
          </w:rPr>
          <w:fldChar w:fldCharType="end"/>
        </w:r>
      </w:p>
    </w:sdtContent>
  </w:sdt>
  <w:p w:rsidR="00360067" w:rsidRDefault="00360067" w:rsidP="00FC420D">
    <w:pPr>
      <w:pStyle w:val="a3"/>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067" w:rsidRDefault="00F9347E" w:rsidP="000615DD">
    <w:pPr>
      <w:pStyle w:val="a3"/>
      <w:framePr w:wrap="none" w:vAnchor="text" w:hAnchor="margin" w:xAlign="right" w:y="1"/>
      <w:rPr>
        <w:rStyle w:val="af7"/>
      </w:rPr>
    </w:pPr>
    <w:r>
      <w:rPr>
        <w:rStyle w:val="af7"/>
      </w:rPr>
      <w:fldChar w:fldCharType="begin"/>
    </w:r>
    <w:r w:rsidR="00360067">
      <w:rPr>
        <w:rStyle w:val="af7"/>
      </w:rPr>
      <w:instrText xml:space="preserve"> PAGE </w:instrText>
    </w:r>
    <w:r>
      <w:rPr>
        <w:rStyle w:val="af7"/>
      </w:rPr>
      <w:fldChar w:fldCharType="separate"/>
    </w:r>
    <w:r w:rsidR="0031058F">
      <w:rPr>
        <w:rStyle w:val="af7"/>
        <w:noProof/>
      </w:rPr>
      <w:t>174</w:t>
    </w:r>
    <w:r>
      <w:rPr>
        <w:rStyle w:val="af7"/>
      </w:rPr>
      <w:fldChar w:fldCharType="end"/>
    </w:r>
    <w:r>
      <w:rPr>
        <w:rStyle w:val="af7"/>
      </w:rPr>
    </w:r>
  </w:p>
  <w:p w:rsidR="00360067" w:rsidRDefault="00360067" w:rsidP="00D27120">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C091C"/>
    <w:multiLevelType w:val="hybridMultilevel"/>
    <w:tmpl w:val="D1D8F82A"/>
    <w:lvl w:ilvl="0" w:tplc="816ED062">
      <w:start w:val="1"/>
      <w:numFmt w:val="decimal"/>
      <w:lvlText w:val="%1."/>
      <w:lvlJc w:val="left"/>
      <w:pPr>
        <w:ind w:left="1352" w:hanging="360"/>
      </w:pPr>
      <w:rPr>
        <w:color w:val="auto"/>
        <w:sz w:val="28"/>
        <w:szCs w:val="28"/>
        <w:lang w:val="uk-U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FCE029D"/>
    <w:multiLevelType w:val="multilevel"/>
    <w:tmpl w:val="B6264E6A"/>
    <w:lvl w:ilvl="0">
      <w:start w:val="1"/>
      <w:numFmt w:val="decimal"/>
      <w:lvlText w:val="%1."/>
      <w:lvlJc w:val="left"/>
      <w:pPr>
        <w:ind w:left="564" w:hanging="564"/>
      </w:pPr>
      <w:rPr>
        <w:rFonts w:hint="default"/>
      </w:rPr>
    </w:lvl>
    <w:lvl w:ilvl="1">
      <w:start w:val="1"/>
      <w:numFmt w:val="decimal"/>
      <w:lvlText w:val="%1.%2."/>
      <w:lvlJc w:val="left"/>
      <w:pPr>
        <w:ind w:left="5243" w:hanging="564"/>
      </w:pPr>
      <w:rPr>
        <w:rFonts w:hint="default"/>
        <w:b w:val="0"/>
        <w:bCs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
    <w:nsid w:val="12160947"/>
    <w:multiLevelType w:val="multilevel"/>
    <w:tmpl w:val="9648E5F6"/>
    <w:lvl w:ilvl="0">
      <w:start w:val="1"/>
      <w:numFmt w:val="decimal"/>
      <w:lvlText w:val="%1."/>
      <w:lvlJc w:val="left"/>
      <w:pPr>
        <w:ind w:left="1069" w:hanging="360"/>
      </w:pPr>
      <w:rPr>
        <w:rFonts w:hint="default"/>
      </w:rPr>
    </w:lvl>
    <w:lvl w:ilvl="1">
      <w:start w:val="4"/>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1ACE106E"/>
    <w:multiLevelType w:val="hybridMultilevel"/>
    <w:tmpl w:val="F4109082"/>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
    <w:nsid w:val="1DC30487"/>
    <w:multiLevelType w:val="hybridMultilevel"/>
    <w:tmpl w:val="16C6E75A"/>
    <w:lvl w:ilvl="0" w:tplc="082CF650">
      <w:start w:val="1"/>
      <w:numFmt w:val="decimal"/>
      <w:lvlText w:val="%1."/>
      <w:lvlJc w:val="left"/>
      <w:pPr>
        <w:ind w:left="720" w:hanging="360"/>
      </w:pPr>
      <w:rPr>
        <w:rFonts w:ascii="Times New Roman" w:hAnsi="Times New Roman" w:cs="Times New Roman" w:hint="default"/>
        <w:i w:val="0"/>
        <w:iCs w:val="0"/>
        <w:color w:val="auto"/>
        <w:sz w:val="28"/>
        <w:szCs w:val="28"/>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1AF5C7B"/>
    <w:multiLevelType w:val="hybridMultilevel"/>
    <w:tmpl w:val="5A34F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9247CD"/>
    <w:multiLevelType w:val="hybridMultilevel"/>
    <w:tmpl w:val="6BC84D2E"/>
    <w:lvl w:ilvl="0" w:tplc="AF0CEDA8">
      <w:start w:val="1"/>
      <w:numFmt w:val="decimal"/>
      <w:lvlText w:val="%1."/>
      <w:lvlJc w:val="left"/>
      <w:pPr>
        <w:ind w:left="1288"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9961B9D"/>
    <w:multiLevelType w:val="hybridMultilevel"/>
    <w:tmpl w:val="2AD232D2"/>
    <w:lvl w:ilvl="0" w:tplc="C41CFB52">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8">
    <w:nsid w:val="2D1C53C9"/>
    <w:multiLevelType w:val="hybridMultilevel"/>
    <w:tmpl w:val="26AE4E4C"/>
    <w:lvl w:ilvl="0" w:tplc="AF0CEDA8">
      <w:start w:val="1"/>
      <w:numFmt w:val="decimal"/>
      <w:lvlText w:val="%1."/>
      <w:lvlJc w:val="left"/>
      <w:pPr>
        <w:ind w:left="2990" w:hanging="360"/>
      </w:pPr>
      <w:rPr>
        <w:rFonts w:hint="default"/>
        <w:sz w:val="28"/>
        <w:szCs w:val="28"/>
      </w:rPr>
    </w:lvl>
    <w:lvl w:ilvl="1" w:tplc="04220019" w:tentative="1">
      <w:start w:val="1"/>
      <w:numFmt w:val="lowerLetter"/>
      <w:lvlText w:val="%2."/>
      <w:lvlJc w:val="left"/>
      <w:pPr>
        <w:ind w:left="3142" w:hanging="360"/>
      </w:pPr>
    </w:lvl>
    <w:lvl w:ilvl="2" w:tplc="0422001B" w:tentative="1">
      <w:start w:val="1"/>
      <w:numFmt w:val="lowerRoman"/>
      <w:lvlText w:val="%3."/>
      <w:lvlJc w:val="right"/>
      <w:pPr>
        <w:ind w:left="3862" w:hanging="180"/>
      </w:pPr>
    </w:lvl>
    <w:lvl w:ilvl="3" w:tplc="0422000F" w:tentative="1">
      <w:start w:val="1"/>
      <w:numFmt w:val="decimal"/>
      <w:lvlText w:val="%4."/>
      <w:lvlJc w:val="left"/>
      <w:pPr>
        <w:ind w:left="4582" w:hanging="360"/>
      </w:pPr>
    </w:lvl>
    <w:lvl w:ilvl="4" w:tplc="04220019" w:tentative="1">
      <w:start w:val="1"/>
      <w:numFmt w:val="lowerLetter"/>
      <w:lvlText w:val="%5."/>
      <w:lvlJc w:val="left"/>
      <w:pPr>
        <w:ind w:left="5302" w:hanging="360"/>
      </w:pPr>
    </w:lvl>
    <w:lvl w:ilvl="5" w:tplc="0422001B" w:tentative="1">
      <w:start w:val="1"/>
      <w:numFmt w:val="lowerRoman"/>
      <w:lvlText w:val="%6."/>
      <w:lvlJc w:val="right"/>
      <w:pPr>
        <w:ind w:left="6022" w:hanging="180"/>
      </w:pPr>
    </w:lvl>
    <w:lvl w:ilvl="6" w:tplc="0422000F" w:tentative="1">
      <w:start w:val="1"/>
      <w:numFmt w:val="decimal"/>
      <w:lvlText w:val="%7."/>
      <w:lvlJc w:val="left"/>
      <w:pPr>
        <w:ind w:left="6742" w:hanging="360"/>
      </w:pPr>
    </w:lvl>
    <w:lvl w:ilvl="7" w:tplc="04220019" w:tentative="1">
      <w:start w:val="1"/>
      <w:numFmt w:val="lowerLetter"/>
      <w:lvlText w:val="%8."/>
      <w:lvlJc w:val="left"/>
      <w:pPr>
        <w:ind w:left="7462" w:hanging="360"/>
      </w:pPr>
    </w:lvl>
    <w:lvl w:ilvl="8" w:tplc="0422001B" w:tentative="1">
      <w:start w:val="1"/>
      <w:numFmt w:val="lowerRoman"/>
      <w:lvlText w:val="%9."/>
      <w:lvlJc w:val="right"/>
      <w:pPr>
        <w:ind w:left="8182" w:hanging="180"/>
      </w:pPr>
    </w:lvl>
  </w:abstractNum>
  <w:abstractNum w:abstractNumId="9">
    <w:nsid w:val="30CB10A5"/>
    <w:multiLevelType w:val="hybridMultilevel"/>
    <w:tmpl w:val="82AED982"/>
    <w:lvl w:ilvl="0" w:tplc="373C5C6E">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0">
    <w:nsid w:val="32AE7022"/>
    <w:multiLevelType w:val="hybridMultilevel"/>
    <w:tmpl w:val="4E30EC54"/>
    <w:lvl w:ilvl="0" w:tplc="3264AA7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33323289"/>
    <w:multiLevelType w:val="multilevel"/>
    <w:tmpl w:val="D598AFB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54F5C30"/>
    <w:multiLevelType w:val="hybridMultilevel"/>
    <w:tmpl w:val="C83E6556"/>
    <w:lvl w:ilvl="0" w:tplc="0422000F">
      <w:start w:val="1"/>
      <w:numFmt w:val="decimal"/>
      <w:lvlText w:val="%1."/>
      <w:lvlJc w:val="left"/>
      <w:pPr>
        <w:ind w:left="1288"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3">
    <w:nsid w:val="35803455"/>
    <w:multiLevelType w:val="multilevel"/>
    <w:tmpl w:val="9648E5F6"/>
    <w:lvl w:ilvl="0">
      <w:start w:val="1"/>
      <w:numFmt w:val="decimal"/>
      <w:lvlText w:val="%1."/>
      <w:lvlJc w:val="left"/>
      <w:pPr>
        <w:ind w:left="1778" w:hanging="360"/>
      </w:pPr>
      <w:rPr>
        <w:rFonts w:hint="default"/>
      </w:rPr>
    </w:lvl>
    <w:lvl w:ilvl="1">
      <w:start w:val="4"/>
      <w:numFmt w:val="decimal"/>
      <w:isLgl/>
      <w:lvlText w:val="%1.%2."/>
      <w:lvlJc w:val="left"/>
      <w:pPr>
        <w:ind w:left="213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4">
    <w:nsid w:val="3B5B49F9"/>
    <w:multiLevelType w:val="multilevel"/>
    <w:tmpl w:val="82F428D6"/>
    <w:lvl w:ilvl="0">
      <w:start w:val="1"/>
      <w:numFmt w:val="decimal"/>
      <w:lvlText w:val="%1."/>
      <w:lvlJc w:val="left"/>
      <w:pPr>
        <w:ind w:left="4755" w:hanging="360"/>
      </w:pPr>
      <w:rPr>
        <w:rFonts w:hint="default"/>
      </w:rPr>
    </w:lvl>
    <w:lvl w:ilvl="1">
      <w:start w:val="1"/>
      <w:numFmt w:val="decimal"/>
      <w:isLgl/>
      <w:lvlText w:val="%1.%2"/>
      <w:lvlJc w:val="left"/>
      <w:pPr>
        <w:ind w:left="5550" w:hanging="1155"/>
      </w:pPr>
      <w:rPr>
        <w:rFonts w:hint="default"/>
      </w:rPr>
    </w:lvl>
    <w:lvl w:ilvl="2">
      <w:start w:val="1"/>
      <w:numFmt w:val="decimal"/>
      <w:isLgl/>
      <w:lvlText w:val="%1.%2.%3"/>
      <w:lvlJc w:val="left"/>
      <w:pPr>
        <w:ind w:left="5550" w:hanging="1155"/>
      </w:pPr>
      <w:rPr>
        <w:rFonts w:hint="default"/>
      </w:rPr>
    </w:lvl>
    <w:lvl w:ilvl="3">
      <w:start w:val="1"/>
      <w:numFmt w:val="decimal"/>
      <w:isLgl/>
      <w:lvlText w:val="%1.%2.%3.%4"/>
      <w:lvlJc w:val="left"/>
      <w:pPr>
        <w:ind w:left="5550" w:hanging="1155"/>
      </w:pPr>
      <w:rPr>
        <w:rFonts w:hint="default"/>
      </w:rPr>
    </w:lvl>
    <w:lvl w:ilvl="4">
      <w:start w:val="1"/>
      <w:numFmt w:val="decimal"/>
      <w:isLgl/>
      <w:lvlText w:val="%1.%2.%3.%4.%5"/>
      <w:lvlJc w:val="left"/>
      <w:pPr>
        <w:ind w:left="5550" w:hanging="1155"/>
      </w:pPr>
      <w:rPr>
        <w:rFonts w:hint="default"/>
      </w:rPr>
    </w:lvl>
    <w:lvl w:ilvl="5">
      <w:start w:val="1"/>
      <w:numFmt w:val="decimal"/>
      <w:isLgl/>
      <w:lvlText w:val="%1.%2.%3.%4.%5.%6"/>
      <w:lvlJc w:val="left"/>
      <w:pPr>
        <w:ind w:left="5835" w:hanging="1440"/>
      </w:pPr>
      <w:rPr>
        <w:rFonts w:hint="default"/>
      </w:rPr>
    </w:lvl>
    <w:lvl w:ilvl="6">
      <w:start w:val="1"/>
      <w:numFmt w:val="decimal"/>
      <w:isLgl/>
      <w:lvlText w:val="%1.%2.%3.%4.%5.%6.%7"/>
      <w:lvlJc w:val="left"/>
      <w:pPr>
        <w:ind w:left="5835" w:hanging="1440"/>
      </w:pPr>
      <w:rPr>
        <w:rFonts w:hint="default"/>
      </w:rPr>
    </w:lvl>
    <w:lvl w:ilvl="7">
      <w:start w:val="1"/>
      <w:numFmt w:val="decimal"/>
      <w:isLgl/>
      <w:lvlText w:val="%1.%2.%3.%4.%5.%6.%7.%8"/>
      <w:lvlJc w:val="left"/>
      <w:pPr>
        <w:ind w:left="6195" w:hanging="1800"/>
      </w:pPr>
      <w:rPr>
        <w:rFonts w:hint="default"/>
      </w:rPr>
    </w:lvl>
    <w:lvl w:ilvl="8">
      <w:start w:val="1"/>
      <w:numFmt w:val="decimal"/>
      <w:isLgl/>
      <w:lvlText w:val="%1.%2.%3.%4.%5.%6.%7.%8.%9"/>
      <w:lvlJc w:val="left"/>
      <w:pPr>
        <w:ind w:left="6555" w:hanging="2160"/>
      </w:pPr>
      <w:rPr>
        <w:rFonts w:hint="default"/>
      </w:rPr>
    </w:lvl>
  </w:abstractNum>
  <w:abstractNum w:abstractNumId="15">
    <w:nsid w:val="3CE55096"/>
    <w:multiLevelType w:val="multilevel"/>
    <w:tmpl w:val="9648E5F6"/>
    <w:lvl w:ilvl="0">
      <w:start w:val="1"/>
      <w:numFmt w:val="decimal"/>
      <w:lvlText w:val="%1."/>
      <w:lvlJc w:val="left"/>
      <w:pPr>
        <w:ind w:left="1778" w:hanging="360"/>
      </w:pPr>
      <w:rPr>
        <w:rFonts w:hint="default"/>
      </w:rPr>
    </w:lvl>
    <w:lvl w:ilvl="1">
      <w:start w:val="4"/>
      <w:numFmt w:val="decimal"/>
      <w:isLgl/>
      <w:lvlText w:val="%1.%2."/>
      <w:lvlJc w:val="left"/>
      <w:pPr>
        <w:ind w:left="213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6">
    <w:nsid w:val="3D0B1365"/>
    <w:multiLevelType w:val="hybridMultilevel"/>
    <w:tmpl w:val="3A2E66EA"/>
    <w:lvl w:ilvl="0" w:tplc="9B30FE34">
      <w:start w:val="1"/>
      <w:numFmt w:val="decimal"/>
      <w:lvlText w:val="%1."/>
      <w:lvlJc w:val="left"/>
      <w:pPr>
        <w:ind w:left="1069" w:hanging="360"/>
      </w:pPr>
      <w:rPr>
        <w:rFonts w:hint="default"/>
        <w:b w:val="0"/>
        <w:bCs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FE569C9"/>
    <w:multiLevelType w:val="hybridMultilevel"/>
    <w:tmpl w:val="27F41B7C"/>
    <w:lvl w:ilvl="0" w:tplc="AF0CEDA8">
      <w:start w:val="1"/>
      <w:numFmt w:val="decimal"/>
      <w:lvlText w:val="%1."/>
      <w:lvlJc w:val="left"/>
      <w:pPr>
        <w:ind w:left="1288" w:hanging="360"/>
      </w:pPr>
      <w:rPr>
        <w:rFonts w:hint="default"/>
        <w:sz w:val="28"/>
        <w:szCs w:val="28"/>
      </w:rPr>
    </w:lvl>
    <w:lvl w:ilvl="1" w:tplc="04220019" w:tentative="1">
      <w:start w:val="1"/>
      <w:numFmt w:val="lowerLetter"/>
      <w:lvlText w:val="%2."/>
      <w:lvlJc w:val="left"/>
      <w:pPr>
        <w:ind w:left="2008" w:hanging="360"/>
      </w:pPr>
    </w:lvl>
    <w:lvl w:ilvl="2" w:tplc="0422001B" w:tentative="1">
      <w:start w:val="1"/>
      <w:numFmt w:val="lowerRoman"/>
      <w:lvlText w:val="%3."/>
      <w:lvlJc w:val="right"/>
      <w:pPr>
        <w:ind w:left="2728" w:hanging="180"/>
      </w:pPr>
    </w:lvl>
    <w:lvl w:ilvl="3" w:tplc="0422000F" w:tentative="1">
      <w:start w:val="1"/>
      <w:numFmt w:val="decimal"/>
      <w:lvlText w:val="%4."/>
      <w:lvlJc w:val="left"/>
      <w:pPr>
        <w:ind w:left="3448" w:hanging="360"/>
      </w:pPr>
    </w:lvl>
    <w:lvl w:ilvl="4" w:tplc="04220019" w:tentative="1">
      <w:start w:val="1"/>
      <w:numFmt w:val="lowerLetter"/>
      <w:lvlText w:val="%5."/>
      <w:lvlJc w:val="left"/>
      <w:pPr>
        <w:ind w:left="4168" w:hanging="360"/>
      </w:pPr>
    </w:lvl>
    <w:lvl w:ilvl="5" w:tplc="0422001B" w:tentative="1">
      <w:start w:val="1"/>
      <w:numFmt w:val="lowerRoman"/>
      <w:lvlText w:val="%6."/>
      <w:lvlJc w:val="right"/>
      <w:pPr>
        <w:ind w:left="4888" w:hanging="180"/>
      </w:pPr>
    </w:lvl>
    <w:lvl w:ilvl="6" w:tplc="0422000F" w:tentative="1">
      <w:start w:val="1"/>
      <w:numFmt w:val="decimal"/>
      <w:lvlText w:val="%7."/>
      <w:lvlJc w:val="left"/>
      <w:pPr>
        <w:ind w:left="5608" w:hanging="360"/>
      </w:pPr>
    </w:lvl>
    <w:lvl w:ilvl="7" w:tplc="04220019" w:tentative="1">
      <w:start w:val="1"/>
      <w:numFmt w:val="lowerLetter"/>
      <w:lvlText w:val="%8."/>
      <w:lvlJc w:val="left"/>
      <w:pPr>
        <w:ind w:left="6328" w:hanging="360"/>
      </w:pPr>
    </w:lvl>
    <w:lvl w:ilvl="8" w:tplc="0422001B" w:tentative="1">
      <w:start w:val="1"/>
      <w:numFmt w:val="lowerRoman"/>
      <w:lvlText w:val="%9."/>
      <w:lvlJc w:val="right"/>
      <w:pPr>
        <w:ind w:left="7048" w:hanging="180"/>
      </w:pPr>
    </w:lvl>
  </w:abstractNum>
  <w:abstractNum w:abstractNumId="18">
    <w:nsid w:val="408C719D"/>
    <w:multiLevelType w:val="hybridMultilevel"/>
    <w:tmpl w:val="AD6A43CE"/>
    <w:lvl w:ilvl="0" w:tplc="0422000F">
      <w:start w:val="1"/>
      <w:numFmt w:val="decimal"/>
      <w:lvlText w:val="%1."/>
      <w:lvlJc w:val="left"/>
      <w:pPr>
        <w:ind w:left="1288"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9">
    <w:nsid w:val="458A799F"/>
    <w:multiLevelType w:val="hybridMultilevel"/>
    <w:tmpl w:val="79960B00"/>
    <w:lvl w:ilvl="0" w:tplc="816ED062">
      <w:start w:val="1"/>
      <w:numFmt w:val="decimal"/>
      <w:lvlText w:val="%1."/>
      <w:lvlJc w:val="left"/>
      <w:pPr>
        <w:ind w:left="1352" w:hanging="360"/>
      </w:pPr>
      <w:rPr>
        <w:color w:val="auto"/>
        <w:sz w:val="28"/>
        <w:szCs w:val="28"/>
        <w:lang w:val="uk-U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7E858D3"/>
    <w:multiLevelType w:val="multilevel"/>
    <w:tmpl w:val="60587904"/>
    <w:lvl w:ilvl="0">
      <w:start w:val="1"/>
      <w:numFmt w:val="decimal"/>
      <w:lvlText w:val="%1."/>
      <w:lvlJc w:val="left"/>
      <w:pPr>
        <w:ind w:left="720" w:hanging="360"/>
      </w:pPr>
    </w:lvl>
    <w:lvl w:ilvl="1">
      <w:start w:val="1"/>
      <w:numFmt w:val="decimal"/>
      <w:isLgl/>
      <w:lvlText w:val="%1.%2"/>
      <w:lvlJc w:val="left"/>
      <w:pPr>
        <w:ind w:left="1984" w:hanging="1275"/>
      </w:pPr>
      <w:rPr>
        <w:rFonts w:hint="default"/>
      </w:rPr>
    </w:lvl>
    <w:lvl w:ilvl="2">
      <w:start w:val="1"/>
      <w:numFmt w:val="decimal"/>
      <w:isLgl/>
      <w:lvlText w:val="%1.%2.%3"/>
      <w:lvlJc w:val="left"/>
      <w:pPr>
        <w:ind w:left="2333" w:hanging="1275"/>
      </w:pPr>
      <w:rPr>
        <w:rFonts w:hint="default"/>
      </w:rPr>
    </w:lvl>
    <w:lvl w:ilvl="3">
      <w:start w:val="1"/>
      <w:numFmt w:val="decimal"/>
      <w:isLgl/>
      <w:lvlText w:val="%1.%2.%3.%4"/>
      <w:lvlJc w:val="left"/>
      <w:pPr>
        <w:ind w:left="2682" w:hanging="1275"/>
      </w:pPr>
      <w:rPr>
        <w:rFonts w:hint="default"/>
      </w:rPr>
    </w:lvl>
    <w:lvl w:ilvl="4">
      <w:start w:val="1"/>
      <w:numFmt w:val="decimal"/>
      <w:isLgl/>
      <w:lvlText w:val="%1.%2.%3.%4.%5"/>
      <w:lvlJc w:val="left"/>
      <w:pPr>
        <w:ind w:left="3031" w:hanging="127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nsid w:val="4E20750E"/>
    <w:multiLevelType w:val="hybridMultilevel"/>
    <w:tmpl w:val="14A8D7FA"/>
    <w:lvl w:ilvl="0" w:tplc="0419000F">
      <w:start w:val="7"/>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2">
    <w:nsid w:val="50CB3D27"/>
    <w:multiLevelType w:val="multilevel"/>
    <w:tmpl w:val="82F428D6"/>
    <w:lvl w:ilvl="0">
      <w:start w:val="1"/>
      <w:numFmt w:val="decimal"/>
      <w:lvlText w:val="%1."/>
      <w:lvlJc w:val="left"/>
      <w:pPr>
        <w:ind w:left="1636" w:hanging="360"/>
      </w:pPr>
      <w:rPr>
        <w:rFonts w:hint="default"/>
      </w:rPr>
    </w:lvl>
    <w:lvl w:ilvl="1">
      <w:start w:val="1"/>
      <w:numFmt w:val="decimal"/>
      <w:isLgl/>
      <w:lvlText w:val="%1.%2"/>
      <w:lvlJc w:val="left"/>
      <w:pPr>
        <w:ind w:left="2431" w:hanging="1155"/>
      </w:pPr>
      <w:rPr>
        <w:rFonts w:hint="default"/>
      </w:rPr>
    </w:lvl>
    <w:lvl w:ilvl="2">
      <w:start w:val="1"/>
      <w:numFmt w:val="decimal"/>
      <w:isLgl/>
      <w:lvlText w:val="%1.%2.%3"/>
      <w:lvlJc w:val="left"/>
      <w:pPr>
        <w:ind w:left="2431" w:hanging="1155"/>
      </w:pPr>
      <w:rPr>
        <w:rFonts w:hint="default"/>
      </w:rPr>
    </w:lvl>
    <w:lvl w:ilvl="3">
      <w:start w:val="1"/>
      <w:numFmt w:val="decimal"/>
      <w:isLgl/>
      <w:lvlText w:val="%1.%2.%3.%4"/>
      <w:lvlJc w:val="left"/>
      <w:pPr>
        <w:ind w:left="2431" w:hanging="1155"/>
      </w:pPr>
      <w:rPr>
        <w:rFonts w:hint="default"/>
      </w:rPr>
    </w:lvl>
    <w:lvl w:ilvl="4">
      <w:start w:val="1"/>
      <w:numFmt w:val="decimal"/>
      <w:isLgl/>
      <w:lvlText w:val="%1.%2.%3.%4.%5"/>
      <w:lvlJc w:val="left"/>
      <w:pPr>
        <w:ind w:left="2431" w:hanging="1155"/>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3076" w:hanging="1800"/>
      </w:pPr>
      <w:rPr>
        <w:rFonts w:hint="default"/>
      </w:rPr>
    </w:lvl>
    <w:lvl w:ilvl="8">
      <w:start w:val="1"/>
      <w:numFmt w:val="decimal"/>
      <w:isLgl/>
      <w:lvlText w:val="%1.%2.%3.%4.%5.%6.%7.%8.%9"/>
      <w:lvlJc w:val="left"/>
      <w:pPr>
        <w:ind w:left="3436" w:hanging="2160"/>
      </w:pPr>
      <w:rPr>
        <w:rFonts w:hint="default"/>
      </w:rPr>
    </w:lvl>
  </w:abstractNum>
  <w:abstractNum w:abstractNumId="23">
    <w:nsid w:val="50DC4283"/>
    <w:multiLevelType w:val="multilevel"/>
    <w:tmpl w:val="82F428D6"/>
    <w:lvl w:ilvl="0">
      <w:start w:val="1"/>
      <w:numFmt w:val="decimal"/>
      <w:lvlText w:val="%1."/>
      <w:lvlJc w:val="left"/>
      <w:pPr>
        <w:ind w:left="1636" w:hanging="360"/>
      </w:pPr>
      <w:rPr>
        <w:rFonts w:hint="default"/>
      </w:rPr>
    </w:lvl>
    <w:lvl w:ilvl="1">
      <w:start w:val="1"/>
      <w:numFmt w:val="decimal"/>
      <w:isLgl/>
      <w:lvlText w:val="%1.%2"/>
      <w:lvlJc w:val="left"/>
      <w:pPr>
        <w:ind w:left="2431" w:hanging="1155"/>
      </w:pPr>
      <w:rPr>
        <w:rFonts w:hint="default"/>
      </w:rPr>
    </w:lvl>
    <w:lvl w:ilvl="2">
      <w:start w:val="1"/>
      <w:numFmt w:val="decimal"/>
      <w:isLgl/>
      <w:lvlText w:val="%1.%2.%3"/>
      <w:lvlJc w:val="left"/>
      <w:pPr>
        <w:ind w:left="2431" w:hanging="1155"/>
      </w:pPr>
      <w:rPr>
        <w:rFonts w:hint="default"/>
      </w:rPr>
    </w:lvl>
    <w:lvl w:ilvl="3">
      <w:start w:val="1"/>
      <w:numFmt w:val="decimal"/>
      <w:isLgl/>
      <w:lvlText w:val="%1.%2.%3.%4"/>
      <w:lvlJc w:val="left"/>
      <w:pPr>
        <w:ind w:left="2431" w:hanging="1155"/>
      </w:pPr>
      <w:rPr>
        <w:rFonts w:hint="default"/>
      </w:rPr>
    </w:lvl>
    <w:lvl w:ilvl="4">
      <w:start w:val="1"/>
      <w:numFmt w:val="decimal"/>
      <w:isLgl/>
      <w:lvlText w:val="%1.%2.%3.%4.%5"/>
      <w:lvlJc w:val="left"/>
      <w:pPr>
        <w:ind w:left="2431" w:hanging="1155"/>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3076" w:hanging="1800"/>
      </w:pPr>
      <w:rPr>
        <w:rFonts w:hint="default"/>
      </w:rPr>
    </w:lvl>
    <w:lvl w:ilvl="8">
      <w:start w:val="1"/>
      <w:numFmt w:val="decimal"/>
      <w:isLgl/>
      <w:lvlText w:val="%1.%2.%3.%4.%5.%6.%7.%8.%9"/>
      <w:lvlJc w:val="left"/>
      <w:pPr>
        <w:ind w:left="3436" w:hanging="2160"/>
      </w:pPr>
      <w:rPr>
        <w:rFonts w:hint="default"/>
      </w:rPr>
    </w:lvl>
  </w:abstractNum>
  <w:abstractNum w:abstractNumId="24">
    <w:nsid w:val="5F5F0EAC"/>
    <w:multiLevelType w:val="hybridMultilevel"/>
    <w:tmpl w:val="85441610"/>
    <w:lvl w:ilvl="0" w:tplc="A8A6961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24A7AE6"/>
    <w:multiLevelType w:val="hybridMultilevel"/>
    <w:tmpl w:val="7910EFBC"/>
    <w:lvl w:ilvl="0" w:tplc="9ADC53D2">
      <w:start w:val="1"/>
      <w:numFmt w:val="decimal"/>
      <w:lvlText w:val="%1."/>
      <w:lvlJc w:val="left"/>
      <w:pPr>
        <w:ind w:left="786"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8123CB"/>
    <w:multiLevelType w:val="multilevel"/>
    <w:tmpl w:val="9648E5F6"/>
    <w:lvl w:ilvl="0">
      <w:start w:val="1"/>
      <w:numFmt w:val="decimal"/>
      <w:lvlText w:val="%1."/>
      <w:lvlJc w:val="left"/>
      <w:pPr>
        <w:ind w:left="1069" w:hanging="360"/>
      </w:pPr>
      <w:rPr>
        <w:rFonts w:hint="default"/>
      </w:rPr>
    </w:lvl>
    <w:lvl w:ilvl="1">
      <w:start w:val="4"/>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nsid w:val="65995B64"/>
    <w:multiLevelType w:val="multilevel"/>
    <w:tmpl w:val="9E942FAE"/>
    <w:lvl w:ilvl="0">
      <w:start w:val="1"/>
      <w:numFmt w:val="decimal"/>
      <w:lvlText w:val="%1."/>
      <w:lvlJc w:val="left"/>
      <w:pPr>
        <w:ind w:left="1636" w:hanging="360"/>
      </w:pPr>
      <w:rPr>
        <w:rFonts w:ascii="Times New Roman" w:eastAsia="Times New Roman" w:hAnsi="Times New Roman" w:cs="Times New Roman"/>
      </w:rPr>
    </w:lvl>
    <w:lvl w:ilvl="1">
      <w:start w:val="1"/>
      <w:numFmt w:val="decimal"/>
      <w:isLgl/>
      <w:lvlText w:val="%1.%2"/>
      <w:lvlJc w:val="left"/>
      <w:pPr>
        <w:ind w:left="2431" w:hanging="1155"/>
      </w:pPr>
      <w:rPr>
        <w:rFonts w:hint="default"/>
      </w:rPr>
    </w:lvl>
    <w:lvl w:ilvl="2">
      <w:start w:val="1"/>
      <w:numFmt w:val="decimal"/>
      <w:isLgl/>
      <w:lvlText w:val="%1.%2.%3"/>
      <w:lvlJc w:val="left"/>
      <w:pPr>
        <w:ind w:left="2431" w:hanging="1155"/>
      </w:pPr>
      <w:rPr>
        <w:rFonts w:hint="default"/>
      </w:rPr>
    </w:lvl>
    <w:lvl w:ilvl="3">
      <w:start w:val="1"/>
      <w:numFmt w:val="decimal"/>
      <w:isLgl/>
      <w:lvlText w:val="%1.%2.%3.%4"/>
      <w:lvlJc w:val="left"/>
      <w:pPr>
        <w:ind w:left="2431" w:hanging="1155"/>
      </w:pPr>
      <w:rPr>
        <w:rFonts w:hint="default"/>
      </w:rPr>
    </w:lvl>
    <w:lvl w:ilvl="4">
      <w:start w:val="1"/>
      <w:numFmt w:val="decimal"/>
      <w:isLgl/>
      <w:lvlText w:val="%1.%2.%3.%4.%5"/>
      <w:lvlJc w:val="left"/>
      <w:pPr>
        <w:ind w:left="2431" w:hanging="1155"/>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3076" w:hanging="1800"/>
      </w:pPr>
      <w:rPr>
        <w:rFonts w:hint="default"/>
      </w:rPr>
    </w:lvl>
    <w:lvl w:ilvl="8">
      <w:start w:val="1"/>
      <w:numFmt w:val="decimal"/>
      <w:isLgl/>
      <w:lvlText w:val="%1.%2.%3.%4.%5.%6.%7.%8.%9"/>
      <w:lvlJc w:val="left"/>
      <w:pPr>
        <w:ind w:left="3436" w:hanging="2160"/>
      </w:pPr>
      <w:rPr>
        <w:rFonts w:hint="default"/>
      </w:rPr>
    </w:lvl>
  </w:abstractNum>
  <w:abstractNum w:abstractNumId="28">
    <w:nsid w:val="698D0E38"/>
    <w:multiLevelType w:val="multilevel"/>
    <w:tmpl w:val="9648E5F6"/>
    <w:lvl w:ilvl="0">
      <w:start w:val="1"/>
      <w:numFmt w:val="decimal"/>
      <w:lvlText w:val="%1."/>
      <w:lvlJc w:val="left"/>
      <w:pPr>
        <w:ind w:left="1778" w:hanging="360"/>
      </w:pPr>
      <w:rPr>
        <w:rFonts w:hint="default"/>
      </w:rPr>
    </w:lvl>
    <w:lvl w:ilvl="1">
      <w:start w:val="4"/>
      <w:numFmt w:val="decimal"/>
      <w:isLgl/>
      <w:lvlText w:val="%1.%2."/>
      <w:lvlJc w:val="left"/>
      <w:pPr>
        <w:ind w:left="213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nsid w:val="7461765E"/>
    <w:multiLevelType w:val="hybridMultilevel"/>
    <w:tmpl w:val="D1D8F82A"/>
    <w:lvl w:ilvl="0" w:tplc="816ED062">
      <w:start w:val="1"/>
      <w:numFmt w:val="decimal"/>
      <w:lvlText w:val="%1."/>
      <w:lvlJc w:val="left"/>
      <w:pPr>
        <w:ind w:left="1352" w:hanging="360"/>
      </w:pPr>
      <w:rPr>
        <w:color w:val="auto"/>
        <w:sz w:val="28"/>
        <w:szCs w:val="28"/>
        <w:lang w:val="uk-U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5340D62"/>
    <w:multiLevelType w:val="multilevel"/>
    <w:tmpl w:val="27C4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861211"/>
    <w:multiLevelType w:val="hybridMultilevel"/>
    <w:tmpl w:val="F4109082"/>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2">
    <w:nsid w:val="7C2A37A7"/>
    <w:multiLevelType w:val="hybridMultilevel"/>
    <w:tmpl w:val="718C87F4"/>
    <w:lvl w:ilvl="0" w:tplc="FFB8CFD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8B3991"/>
    <w:multiLevelType w:val="multilevel"/>
    <w:tmpl w:val="9648E5F6"/>
    <w:lvl w:ilvl="0">
      <w:start w:val="1"/>
      <w:numFmt w:val="decimal"/>
      <w:lvlText w:val="%1."/>
      <w:lvlJc w:val="left"/>
      <w:pPr>
        <w:ind w:left="1069" w:hanging="360"/>
      </w:pPr>
      <w:rPr>
        <w:rFonts w:hint="default"/>
      </w:rPr>
    </w:lvl>
    <w:lvl w:ilvl="1">
      <w:start w:val="4"/>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nsid w:val="7FD156CB"/>
    <w:multiLevelType w:val="hybridMultilevel"/>
    <w:tmpl w:val="C0A0546C"/>
    <w:lvl w:ilvl="0" w:tplc="AF0CEDA8">
      <w:start w:val="1"/>
      <w:numFmt w:val="decimal"/>
      <w:lvlText w:val="%1."/>
      <w:lvlJc w:val="left"/>
      <w:pPr>
        <w:ind w:left="720" w:hanging="360"/>
      </w:pPr>
      <w:rPr>
        <w:rFonts w:hint="default"/>
        <w:sz w:val="28"/>
        <w:szCs w:val="28"/>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7FF64421"/>
    <w:multiLevelType w:val="hybridMultilevel"/>
    <w:tmpl w:val="2F16A386"/>
    <w:lvl w:ilvl="0" w:tplc="BE8A2A1E">
      <w:start w:val="1"/>
      <w:numFmt w:val="decimal"/>
      <w:lvlText w:val="%1."/>
      <w:lvlJc w:val="left"/>
      <w:pPr>
        <w:ind w:left="1429" w:hanging="360"/>
      </w:pPr>
      <w:rPr>
        <w:rFonts w:ascii="Times New Roman" w:hAnsi="Times New Roman" w:cs="Times New Roman"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5"/>
  </w:num>
  <w:num w:numId="2">
    <w:abstractNumId w:val="11"/>
  </w:num>
  <w:num w:numId="3">
    <w:abstractNumId w:val="5"/>
  </w:num>
  <w:num w:numId="4">
    <w:abstractNumId w:val="1"/>
  </w:num>
  <w:num w:numId="5">
    <w:abstractNumId w:val="26"/>
  </w:num>
  <w:num w:numId="6">
    <w:abstractNumId w:val="14"/>
  </w:num>
  <w:num w:numId="7">
    <w:abstractNumId w:val="33"/>
  </w:num>
  <w:num w:numId="8">
    <w:abstractNumId w:val="24"/>
  </w:num>
  <w:num w:numId="9">
    <w:abstractNumId w:val="15"/>
  </w:num>
  <w:num w:numId="10">
    <w:abstractNumId w:val="27"/>
  </w:num>
  <w:num w:numId="11">
    <w:abstractNumId w:val="32"/>
  </w:num>
  <w:num w:numId="12">
    <w:abstractNumId w:val="23"/>
  </w:num>
  <w:num w:numId="13">
    <w:abstractNumId w:val="22"/>
  </w:num>
  <w:num w:numId="14">
    <w:abstractNumId w:val="20"/>
  </w:num>
  <w:num w:numId="15">
    <w:abstractNumId w:val="9"/>
  </w:num>
  <w:num w:numId="16">
    <w:abstractNumId w:val="10"/>
  </w:num>
  <w:num w:numId="17">
    <w:abstractNumId w:val="7"/>
  </w:num>
  <w:num w:numId="18">
    <w:abstractNumId w:val="21"/>
  </w:num>
  <w:num w:numId="19">
    <w:abstractNumId w:val="28"/>
  </w:num>
  <w:num w:numId="20">
    <w:abstractNumId w:val="17"/>
  </w:num>
  <w:num w:numId="21">
    <w:abstractNumId w:val="6"/>
  </w:num>
  <w:num w:numId="22">
    <w:abstractNumId w:val="8"/>
  </w:num>
  <w:num w:numId="23">
    <w:abstractNumId w:val="34"/>
  </w:num>
  <w:num w:numId="24">
    <w:abstractNumId w:val="13"/>
  </w:num>
  <w:num w:numId="25">
    <w:abstractNumId w:val="2"/>
  </w:num>
  <w:num w:numId="26">
    <w:abstractNumId w:val="3"/>
  </w:num>
  <w:num w:numId="27">
    <w:abstractNumId w:val="31"/>
  </w:num>
  <w:num w:numId="28">
    <w:abstractNumId w:val="18"/>
  </w:num>
  <w:num w:numId="29">
    <w:abstractNumId w:val="12"/>
  </w:num>
  <w:num w:numId="30">
    <w:abstractNumId w:val="16"/>
  </w:num>
  <w:num w:numId="31">
    <w:abstractNumId w:val="19"/>
  </w:num>
  <w:num w:numId="32">
    <w:abstractNumId w:val="0"/>
  </w:num>
  <w:num w:numId="33">
    <w:abstractNumId w:val="29"/>
  </w:num>
  <w:num w:numId="34">
    <w:abstractNumId w:val="4"/>
  </w:num>
  <w:num w:numId="35">
    <w:abstractNumId w:val="30"/>
  </w:num>
  <w:num w:numId="36">
    <w:abstractNumId w:val="25"/>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20"/>
  <w:hyphenationZone w:val="425"/>
  <w:characterSpacingControl w:val="doNotCompress"/>
  <w:hdrShapeDefaults>
    <o:shapedefaults v:ext="edit" spidmax="5122"/>
  </w:hdrShapeDefaults>
  <w:footnotePr>
    <w:footnote w:id="0"/>
    <w:footnote w:id="1"/>
  </w:footnotePr>
  <w:endnotePr>
    <w:endnote w:id="0"/>
    <w:endnote w:id="1"/>
  </w:endnotePr>
  <w:compat/>
  <w:rsids>
    <w:rsidRoot w:val="00012F54"/>
    <w:rsid w:val="00000A7B"/>
    <w:rsid w:val="000020E7"/>
    <w:rsid w:val="0000239B"/>
    <w:rsid w:val="00012F54"/>
    <w:rsid w:val="00020D33"/>
    <w:rsid w:val="00030A3E"/>
    <w:rsid w:val="00032004"/>
    <w:rsid w:val="000615DD"/>
    <w:rsid w:val="000660EE"/>
    <w:rsid w:val="0008046E"/>
    <w:rsid w:val="00086591"/>
    <w:rsid w:val="00086D89"/>
    <w:rsid w:val="000D2823"/>
    <w:rsid w:val="000D5906"/>
    <w:rsid w:val="000F594A"/>
    <w:rsid w:val="0010205E"/>
    <w:rsid w:val="00116C15"/>
    <w:rsid w:val="0015531A"/>
    <w:rsid w:val="00157D12"/>
    <w:rsid w:val="001620D9"/>
    <w:rsid w:val="00170F94"/>
    <w:rsid w:val="0018259F"/>
    <w:rsid w:val="00190C7E"/>
    <w:rsid w:val="001E560D"/>
    <w:rsid w:val="001F0A71"/>
    <w:rsid w:val="002072BD"/>
    <w:rsid w:val="002131C4"/>
    <w:rsid w:val="002164A7"/>
    <w:rsid w:val="00233737"/>
    <w:rsid w:val="00241141"/>
    <w:rsid w:val="002479BC"/>
    <w:rsid w:val="002579FF"/>
    <w:rsid w:val="00275E01"/>
    <w:rsid w:val="0027679F"/>
    <w:rsid w:val="00292991"/>
    <w:rsid w:val="002D727F"/>
    <w:rsid w:val="002E0AED"/>
    <w:rsid w:val="002E56E6"/>
    <w:rsid w:val="002E7D9C"/>
    <w:rsid w:val="002F4D2E"/>
    <w:rsid w:val="0031058F"/>
    <w:rsid w:val="00311176"/>
    <w:rsid w:val="00322937"/>
    <w:rsid w:val="003243CB"/>
    <w:rsid w:val="00336094"/>
    <w:rsid w:val="00336DBC"/>
    <w:rsid w:val="003515F0"/>
    <w:rsid w:val="0035224B"/>
    <w:rsid w:val="00352D64"/>
    <w:rsid w:val="00353F74"/>
    <w:rsid w:val="00360067"/>
    <w:rsid w:val="0036311A"/>
    <w:rsid w:val="00365B5A"/>
    <w:rsid w:val="003F5A9A"/>
    <w:rsid w:val="003F7561"/>
    <w:rsid w:val="00406C17"/>
    <w:rsid w:val="00406EAF"/>
    <w:rsid w:val="0040775D"/>
    <w:rsid w:val="00473231"/>
    <w:rsid w:val="00491BD7"/>
    <w:rsid w:val="004D5D31"/>
    <w:rsid w:val="004F28EA"/>
    <w:rsid w:val="004F57D3"/>
    <w:rsid w:val="00506E62"/>
    <w:rsid w:val="00527BE4"/>
    <w:rsid w:val="00551D47"/>
    <w:rsid w:val="00576043"/>
    <w:rsid w:val="00583486"/>
    <w:rsid w:val="005879AB"/>
    <w:rsid w:val="005A60C3"/>
    <w:rsid w:val="005B2E05"/>
    <w:rsid w:val="005C3CBE"/>
    <w:rsid w:val="005C4685"/>
    <w:rsid w:val="005D0FB9"/>
    <w:rsid w:val="005D16F8"/>
    <w:rsid w:val="005D5485"/>
    <w:rsid w:val="005E0BEE"/>
    <w:rsid w:val="005E2397"/>
    <w:rsid w:val="005E44F9"/>
    <w:rsid w:val="00631F2E"/>
    <w:rsid w:val="006432F6"/>
    <w:rsid w:val="0064389D"/>
    <w:rsid w:val="0068068F"/>
    <w:rsid w:val="00680776"/>
    <w:rsid w:val="0068193E"/>
    <w:rsid w:val="0069041A"/>
    <w:rsid w:val="00690BA7"/>
    <w:rsid w:val="0069152C"/>
    <w:rsid w:val="006A597E"/>
    <w:rsid w:val="007034F8"/>
    <w:rsid w:val="007342CD"/>
    <w:rsid w:val="00741C5C"/>
    <w:rsid w:val="0075259E"/>
    <w:rsid w:val="00763508"/>
    <w:rsid w:val="00771748"/>
    <w:rsid w:val="007836C8"/>
    <w:rsid w:val="00784504"/>
    <w:rsid w:val="007905BE"/>
    <w:rsid w:val="007A536B"/>
    <w:rsid w:val="007B7719"/>
    <w:rsid w:val="007C69D9"/>
    <w:rsid w:val="007F0FDA"/>
    <w:rsid w:val="008024B4"/>
    <w:rsid w:val="008137BA"/>
    <w:rsid w:val="008366AD"/>
    <w:rsid w:val="00837E79"/>
    <w:rsid w:val="00862A87"/>
    <w:rsid w:val="0086395A"/>
    <w:rsid w:val="00880E3B"/>
    <w:rsid w:val="008875DA"/>
    <w:rsid w:val="00897978"/>
    <w:rsid w:val="00900B43"/>
    <w:rsid w:val="009035B8"/>
    <w:rsid w:val="0092199C"/>
    <w:rsid w:val="00933A7D"/>
    <w:rsid w:val="00962314"/>
    <w:rsid w:val="00975852"/>
    <w:rsid w:val="00977213"/>
    <w:rsid w:val="00986762"/>
    <w:rsid w:val="00992E04"/>
    <w:rsid w:val="009C1175"/>
    <w:rsid w:val="009D243A"/>
    <w:rsid w:val="009E276A"/>
    <w:rsid w:val="009F0041"/>
    <w:rsid w:val="00A14E0A"/>
    <w:rsid w:val="00A20F02"/>
    <w:rsid w:val="00A451B2"/>
    <w:rsid w:val="00A67DA9"/>
    <w:rsid w:val="00A72D00"/>
    <w:rsid w:val="00A74A7C"/>
    <w:rsid w:val="00A74CCB"/>
    <w:rsid w:val="00A86B00"/>
    <w:rsid w:val="00AB729C"/>
    <w:rsid w:val="00AB7880"/>
    <w:rsid w:val="00AC6FE3"/>
    <w:rsid w:val="00AE3ABE"/>
    <w:rsid w:val="00AE3B52"/>
    <w:rsid w:val="00AE7404"/>
    <w:rsid w:val="00B065B6"/>
    <w:rsid w:val="00B0734B"/>
    <w:rsid w:val="00B20F5D"/>
    <w:rsid w:val="00B70487"/>
    <w:rsid w:val="00B94101"/>
    <w:rsid w:val="00BA2463"/>
    <w:rsid w:val="00BB09B8"/>
    <w:rsid w:val="00BB6F54"/>
    <w:rsid w:val="00BC4025"/>
    <w:rsid w:val="00BC73BB"/>
    <w:rsid w:val="00BD3CF9"/>
    <w:rsid w:val="00BF1A31"/>
    <w:rsid w:val="00C10344"/>
    <w:rsid w:val="00C25F9F"/>
    <w:rsid w:val="00C45152"/>
    <w:rsid w:val="00C46702"/>
    <w:rsid w:val="00C6729A"/>
    <w:rsid w:val="00C84D27"/>
    <w:rsid w:val="00C90A82"/>
    <w:rsid w:val="00C94535"/>
    <w:rsid w:val="00CB4EF8"/>
    <w:rsid w:val="00CB799B"/>
    <w:rsid w:val="00CE77C3"/>
    <w:rsid w:val="00CF0BD7"/>
    <w:rsid w:val="00D00D37"/>
    <w:rsid w:val="00D17BD3"/>
    <w:rsid w:val="00D27120"/>
    <w:rsid w:val="00D5217C"/>
    <w:rsid w:val="00D67811"/>
    <w:rsid w:val="00D867FD"/>
    <w:rsid w:val="00D945BC"/>
    <w:rsid w:val="00DB1BB1"/>
    <w:rsid w:val="00DB7E9E"/>
    <w:rsid w:val="00DC07FE"/>
    <w:rsid w:val="00E1086D"/>
    <w:rsid w:val="00E22529"/>
    <w:rsid w:val="00E320F3"/>
    <w:rsid w:val="00E3780D"/>
    <w:rsid w:val="00E93435"/>
    <w:rsid w:val="00E9659D"/>
    <w:rsid w:val="00ED1F8D"/>
    <w:rsid w:val="00ED56C3"/>
    <w:rsid w:val="00ED6CA4"/>
    <w:rsid w:val="00ED6DCC"/>
    <w:rsid w:val="00EE5F22"/>
    <w:rsid w:val="00EF08E1"/>
    <w:rsid w:val="00F15182"/>
    <w:rsid w:val="00F27455"/>
    <w:rsid w:val="00F3530D"/>
    <w:rsid w:val="00F4128A"/>
    <w:rsid w:val="00F504F9"/>
    <w:rsid w:val="00F640A0"/>
    <w:rsid w:val="00F761BB"/>
    <w:rsid w:val="00F7715E"/>
    <w:rsid w:val="00F9347E"/>
    <w:rsid w:val="00F957B1"/>
    <w:rsid w:val="00FA2B2E"/>
    <w:rsid w:val="00FC3DB5"/>
    <w:rsid w:val="00FC420D"/>
    <w:rsid w:val="00FF77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F54"/>
    <w:pPr>
      <w:spacing w:after="200" w:line="276" w:lineRule="auto"/>
    </w:pPr>
    <w:rPr>
      <w:rFonts w:ascii="Calibri" w:eastAsia="Times New Roman" w:hAnsi="Calibri" w:cs="Times New Roman"/>
      <w:lang w:val="ru-RU" w:eastAsia="ru-RU"/>
    </w:rPr>
  </w:style>
  <w:style w:type="paragraph" w:styleId="1">
    <w:name w:val="heading 1"/>
    <w:basedOn w:val="a"/>
    <w:link w:val="10"/>
    <w:uiPriority w:val="9"/>
    <w:qFormat/>
    <w:rsid w:val="00012F5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012F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
    <w:next w:val="a"/>
    <w:link w:val="60"/>
    <w:uiPriority w:val="9"/>
    <w:semiHidden/>
    <w:unhideWhenUsed/>
    <w:qFormat/>
    <w:rsid w:val="001F0A7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2F54"/>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uiPriority w:val="9"/>
    <w:rsid w:val="00012F54"/>
    <w:rPr>
      <w:rFonts w:asciiTheme="majorHAnsi" w:eastAsiaTheme="majorEastAsia" w:hAnsiTheme="majorHAnsi" w:cstheme="majorBidi"/>
      <w:color w:val="2E74B5" w:themeColor="accent1" w:themeShade="BF"/>
      <w:sz w:val="26"/>
      <w:szCs w:val="26"/>
      <w:lang w:val="ru-RU" w:eastAsia="ru-RU"/>
    </w:rPr>
  </w:style>
  <w:style w:type="paragraph" w:styleId="a3">
    <w:name w:val="header"/>
    <w:aliases w:val="Знак4 Знак"/>
    <w:basedOn w:val="a"/>
    <w:link w:val="a4"/>
    <w:uiPriority w:val="99"/>
    <w:unhideWhenUsed/>
    <w:rsid w:val="00012F54"/>
    <w:pPr>
      <w:tabs>
        <w:tab w:val="center" w:pos="4819"/>
        <w:tab w:val="right" w:pos="9639"/>
      </w:tabs>
      <w:spacing w:after="0" w:line="240" w:lineRule="auto"/>
    </w:pPr>
  </w:style>
  <w:style w:type="character" w:customStyle="1" w:styleId="a4">
    <w:name w:val="Верхний колонтитул Знак"/>
    <w:aliases w:val="Знак4 Знак Знак"/>
    <w:basedOn w:val="a0"/>
    <w:link w:val="a3"/>
    <w:uiPriority w:val="99"/>
    <w:rsid w:val="00012F54"/>
    <w:rPr>
      <w:rFonts w:ascii="Calibri" w:eastAsia="Times New Roman" w:hAnsi="Calibri" w:cs="Times New Roman"/>
      <w:lang w:val="ru-RU" w:eastAsia="ru-RU"/>
    </w:rPr>
  </w:style>
  <w:style w:type="paragraph" w:styleId="a5">
    <w:name w:val="List Paragraph"/>
    <w:basedOn w:val="a"/>
    <w:uiPriority w:val="99"/>
    <w:qFormat/>
    <w:rsid w:val="00012F54"/>
    <w:pPr>
      <w:ind w:left="720"/>
      <w:contextualSpacing/>
    </w:pPr>
  </w:style>
  <w:style w:type="paragraph" w:styleId="a6">
    <w:name w:val="Body Text Indent"/>
    <w:basedOn w:val="a"/>
    <w:link w:val="a7"/>
    <w:uiPriority w:val="99"/>
    <w:rsid w:val="00012F54"/>
    <w:pPr>
      <w:spacing w:after="120"/>
      <w:ind w:left="283"/>
    </w:pPr>
  </w:style>
  <w:style w:type="character" w:customStyle="1" w:styleId="a7">
    <w:name w:val="Основной текст с отступом Знак"/>
    <w:basedOn w:val="a0"/>
    <w:link w:val="a6"/>
    <w:uiPriority w:val="99"/>
    <w:rsid w:val="00012F54"/>
    <w:rPr>
      <w:rFonts w:ascii="Calibri" w:eastAsia="Times New Roman" w:hAnsi="Calibri" w:cs="Times New Roman"/>
      <w:lang w:val="ru-RU" w:eastAsia="ru-RU"/>
    </w:rPr>
  </w:style>
  <w:style w:type="paragraph" w:customStyle="1" w:styleId="11">
    <w:name w:val="Абзац списка1"/>
    <w:basedOn w:val="a"/>
    <w:rsid w:val="00012F54"/>
    <w:pPr>
      <w:spacing w:after="0" w:line="240" w:lineRule="auto"/>
      <w:ind w:left="720"/>
      <w:contextualSpacing/>
    </w:pPr>
    <w:rPr>
      <w:rFonts w:ascii="Times New Roman" w:hAnsi="Times New Roman"/>
      <w:sz w:val="24"/>
      <w:szCs w:val="24"/>
    </w:rPr>
  </w:style>
  <w:style w:type="paragraph" w:styleId="a8">
    <w:name w:val="Normal (Web)"/>
    <w:aliases w:val="Обычный (Интернет)"/>
    <w:basedOn w:val="a"/>
    <w:uiPriority w:val="99"/>
    <w:rsid w:val="00012F54"/>
    <w:pPr>
      <w:spacing w:before="100" w:beforeAutospacing="1" w:after="100" w:afterAutospacing="1" w:line="240" w:lineRule="auto"/>
    </w:pPr>
    <w:rPr>
      <w:rFonts w:ascii="Times New Roman" w:eastAsia="Calibri" w:hAnsi="Times New Roman"/>
      <w:sz w:val="24"/>
      <w:szCs w:val="24"/>
      <w:lang w:val="uk-UA"/>
    </w:rPr>
  </w:style>
  <w:style w:type="character" w:customStyle="1" w:styleId="longtext">
    <w:name w:val="long_text"/>
    <w:rsid w:val="00012F54"/>
    <w:rPr>
      <w:rFonts w:cs="Times New Roman"/>
    </w:rPr>
  </w:style>
  <w:style w:type="character" w:customStyle="1" w:styleId="hps">
    <w:name w:val="hps"/>
    <w:basedOn w:val="a0"/>
    <w:rsid w:val="00012F54"/>
  </w:style>
  <w:style w:type="character" w:styleId="a9">
    <w:name w:val="Emphasis"/>
    <w:uiPriority w:val="20"/>
    <w:qFormat/>
    <w:rsid w:val="00012F54"/>
    <w:rPr>
      <w:i/>
      <w:iCs/>
    </w:rPr>
  </w:style>
  <w:style w:type="paragraph" w:customStyle="1" w:styleId="12">
    <w:name w:val="1"/>
    <w:basedOn w:val="a"/>
    <w:next w:val="a8"/>
    <w:uiPriority w:val="99"/>
    <w:rsid w:val="00012F54"/>
    <w:pPr>
      <w:spacing w:before="100" w:beforeAutospacing="1" w:after="100" w:afterAutospacing="1" w:line="240" w:lineRule="auto"/>
    </w:pPr>
    <w:rPr>
      <w:rFonts w:ascii="Times New Roman" w:eastAsia="Calibri" w:hAnsi="Times New Roman"/>
      <w:sz w:val="24"/>
      <w:szCs w:val="24"/>
      <w:lang w:val="uk-UA"/>
    </w:rPr>
  </w:style>
  <w:style w:type="character" w:customStyle="1" w:styleId="apple-converted-space">
    <w:name w:val="apple-converted-space"/>
    <w:basedOn w:val="a0"/>
    <w:rsid w:val="00012F54"/>
  </w:style>
  <w:style w:type="character" w:customStyle="1" w:styleId="author-sup-separator">
    <w:name w:val="author-sup-separator"/>
    <w:basedOn w:val="a0"/>
    <w:rsid w:val="00012F54"/>
  </w:style>
  <w:style w:type="character" w:customStyle="1" w:styleId="referencesarticle-title">
    <w:name w:val="references__article-title"/>
    <w:basedOn w:val="a0"/>
    <w:rsid w:val="00012F54"/>
  </w:style>
  <w:style w:type="paragraph" w:styleId="aa">
    <w:name w:val="Body Text"/>
    <w:basedOn w:val="a"/>
    <w:link w:val="ab"/>
    <w:unhideWhenUsed/>
    <w:rsid w:val="00012F54"/>
    <w:pPr>
      <w:spacing w:after="120"/>
    </w:pPr>
    <w:rPr>
      <w:rFonts w:eastAsia="Calibri"/>
      <w:lang w:eastAsia="en-US"/>
    </w:rPr>
  </w:style>
  <w:style w:type="character" w:customStyle="1" w:styleId="ab">
    <w:name w:val="Основной текст Знак"/>
    <w:basedOn w:val="a0"/>
    <w:link w:val="aa"/>
    <w:rsid w:val="00012F54"/>
    <w:rPr>
      <w:rFonts w:ascii="Calibri" w:eastAsia="Calibri" w:hAnsi="Calibri" w:cs="Times New Roman"/>
      <w:lang w:val="ru-RU"/>
    </w:rPr>
  </w:style>
  <w:style w:type="paragraph" w:customStyle="1" w:styleId="13">
    <w:name w:val="Без интервала1"/>
    <w:rsid w:val="00012F54"/>
    <w:pPr>
      <w:spacing w:after="0" w:line="240" w:lineRule="auto"/>
      <w:ind w:firstLine="709"/>
      <w:jc w:val="both"/>
    </w:pPr>
    <w:rPr>
      <w:rFonts w:ascii="Times New Roman" w:eastAsia="Times New Roman" w:hAnsi="Times New Roman" w:cs="Times New Roman"/>
      <w:sz w:val="28"/>
      <w:lang w:val="uk-UA"/>
    </w:rPr>
  </w:style>
  <w:style w:type="character" w:styleId="ac">
    <w:name w:val="Hyperlink"/>
    <w:uiPriority w:val="99"/>
    <w:rsid w:val="00012F54"/>
    <w:rPr>
      <w:rFonts w:cs="Times New Roman"/>
      <w:color w:val="0000FF"/>
      <w:u w:val="single"/>
    </w:rPr>
  </w:style>
  <w:style w:type="paragraph" w:customStyle="1" w:styleId="c11">
    <w:name w:val="c_11"/>
    <w:basedOn w:val="a"/>
    <w:rsid w:val="00012F54"/>
    <w:pPr>
      <w:spacing w:before="100" w:beforeAutospacing="1" w:after="100" w:afterAutospacing="1" w:line="240" w:lineRule="auto"/>
    </w:pPr>
    <w:rPr>
      <w:rFonts w:ascii="Times New Roman" w:hAnsi="Times New Roman"/>
      <w:sz w:val="24"/>
      <w:szCs w:val="24"/>
    </w:rPr>
  </w:style>
  <w:style w:type="character" w:customStyle="1" w:styleId="font11">
    <w:name w:val="font11"/>
    <w:rsid w:val="00012F54"/>
    <w:rPr>
      <w:rFonts w:ascii="Times New Roman" w:hAnsi="Times New Roman" w:cs="Times New Roman" w:hint="default"/>
      <w:sz w:val="22"/>
      <w:szCs w:val="22"/>
    </w:rPr>
  </w:style>
  <w:style w:type="paragraph" w:styleId="ad">
    <w:name w:val="Title"/>
    <w:basedOn w:val="a"/>
    <w:next w:val="ae"/>
    <w:link w:val="af"/>
    <w:qFormat/>
    <w:rsid w:val="00012F54"/>
    <w:pPr>
      <w:suppressAutoHyphens/>
      <w:spacing w:after="0" w:line="360" w:lineRule="auto"/>
      <w:ind w:right="567"/>
      <w:jc w:val="center"/>
    </w:pPr>
    <w:rPr>
      <w:rFonts w:ascii="Times New Roman" w:hAnsi="Times New Roman"/>
      <w:sz w:val="28"/>
      <w:szCs w:val="28"/>
      <w:lang w:val="uk-UA" w:eastAsia="ar-SA"/>
    </w:rPr>
  </w:style>
  <w:style w:type="paragraph" w:styleId="ae">
    <w:name w:val="Subtitle"/>
    <w:basedOn w:val="a"/>
    <w:next w:val="a"/>
    <w:link w:val="af0"/>
    <w:uiPriority w:val="11"/>
    <w:qFormat/>
    <w:rsid w:val="00012F5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0">
    <w:name w:val="Подзаголовок Знак"/>
    <w:basedOn w:val="a0"/>
    <w:link w:val="ae"/>
    <w:uiPriority w:val="11"/>
    <w:rsid w:val="00012F54"/>
    <w:rPr>
      <w:rFonts w:eastAsiaTheme="minorEastAsia"/>
      <w:color w:val="5A5A5A" w:themeColor="text1" w:themeTint="A5"/>
      <w:spacing w:val="15"/>
      <w:lang w:val="ru-RU" w:eastAsia="ru-RU"/>
    </w:rPr>
  </w:style>
  <w:style w:type="character" w:customStyle="1" w:styleId="af">
    <w:name w:val="Название Знак"/>
    <w:basedOn w:val="a0"/>
    <w:link w:val="ad"/>
    <w:rsid w:val="00012F54"/>
    <w:rPr>
      <w:rFonts w:ascii="Times New Roman" w:eastAsia="Times New Roman" w:hAnsi="Times New Roman" w:cs="Times New Roman"/>
      <w:sz w:val="28"/>
      <w:szCs w:val="28"/>
      <w:lang w:val="uk-UA" w:eastAsia="ar-SA"/>
    </w:rPr>
  </w:style>
  <w:style w:type="character" w:customStyle="1" w:styleId="af1">
    <w:name w:val="Заголовок Знак"/>
    <w:basedOn w:val="a0"/>
    <w:uiPriority w:val="10"/>
    <w:rsid w:val="00012F54"/>
    <w:rPr>
      <w:rFonts w:asciiTheme="majorHAnsi" w:eastAsiaTheme="majorEastAsia" w:hAnsiTheme="majorHAnsi" w:cstheme="majorBidi"/>
      <w:spacing w:val="-10"/>
      <w:kern w:val="28"/>
      <w:sz w:val="56"/>
      <w:szCs w:val="56"/>
      <w:lang w:val="ru-RU" w:eastAsia="ru-RU"/>
    </w:rPr>
  </w:style>
  <w:style w:type="table" w:styleId="af2">
    <w:name w:val="Table Grid"/>
    <w:basedOn w:val="a1"/>
    <w:uiPriority w:val="39"/>
    <w:rsid w:val="00012F54"/>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footer"/>
    <w:basedOn w:val="a"/>
    <w:link w:val="af4"/>
    <w:uiPriority w:val="99"/>
    <w:unhideWhenUsed/>
    <w:rsid w:val="00012F54"/>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012F54"/>
    <w:rPr>
      <w:rFonts w:ascii="Calibri" w:eastAsia="Times New Roman" w:hAnsi="Calibri" w:cs="Times New Roman"/>
      <w:lang w:val="ru-RU" w:eastAsia="ru-RU"/>
    </w:rPr>
  </w:style>
  <w:style w:type="paragraph" w:customStyle="1" w:styleId="-1">
    <w:name w:val="Обычный-1"/>
    <w:basedOn w:val="a"/>
    <w:rsid w:val="00012F54"/>
    <w:pPr>
      <w:spacing w:after="0" w:line="240" w:lineRule="auto"/>
      <w:ind w:firstLine="567"/>
      <w:jc w:val="both"/>
    </w:pPr>
    <w:rPr>
      <w:rFonts w:ascii="Times New Roman" w:hAnsi="Times New Roman"/>
      <w:sz w:val="24"/>
      <w:szCs w:val="24"/>
    </w:rPr>
  </w:style>
  <w:style w:type="character" w:customStyle="1" w:styleId="60">
    <w:name w:val="Заголовок 6 Знак"/>
    <w:basedOn w:val="a0"/>
    <w:link w:val="6"/>
    <w:uiPriority w:val="9"/>
    <w:semiHidden/>
    <w:rsid w:val="001F0A71"/>
    <w:rPr>
      <w:rFonts w:asciiTheme="majorHAnsi" w:eastAsiaTheme="majorEastAsia" w:hAnsiTheme="majorHAnsi" w:cstheme="majorBidi"/>
      <w:color w:val="1F4D78" w:themeColor="accent1" w:themeShade="7F"/>
      <w:lang w:val="ru-RU" w:eastAsia="ru-RU"/>
    </w:rPr>
  </w:style>
  <w:style w:type="character" w:customStyle="1" w:styleId="artinfo">
    <w:name w:val="art_info"/>
    <w:basedOn w:val="a0"/>
    <w:rsid w:val="001F0A71"/>
  </w:style>
  <w:style w:type="character" w:customStyle="1" w:styleId="cit">
    <w:name w:val="cit"/>
    <w:basedOn w:val="a0"/>
    <w:rsid w:val="001F0A71"/>
  </w:style>
  <w:style w:type="character" w:customStyle="1" w:styleId="citation-doi">
    <w:name w:val="citation-doi"/>
    <w:basedOn w:val="a0"/>
    <w:rsid w:val="001F0A71"/>
  </w:style>
  <w:style w:type="character" w:customStyle="1" w:styleId="docsum-authors">
    <w:name w:val="docsum-authors"/>
    <w:basedOn w:val="a0"/>
    <w:rsid w:val="001F0A71"/>
  </w:style>
  <w:style w:type="character" w:customStyle="1" w:styleId="docsum-journal-citation">
    <w:name w:val="docsum-journal-citation"/>
    <w:basedOn w:val="a0"/>
    <w:rsid w:val="001F0A71"/>
  </w:style>
  <w:style w:type="character" w:customStyle="1" w:styleId="ref-journal">
    <w:name w:val="ref-journal"/>
    <w:basedOn w:val="a0"/>
    <w:rsid w:val="001F0A71"/>
  </w:style>
  <w:style w:type="character" w:customStyle="1" w:styleId="ref-vol">
    <w:name w:val="ref-vol"/>
    <w:basedOn w:val="a0"/>
    <w:rsid w:val="001F0A71"/>
  </w:style>
  <w:style w:type="character" w:customStyle="1" w:styleId="552">
    <w:name w:val="Основний текст (55) + Курсив2"/>
    <w:uiPriority w:val="99"/>
    <w:rsid w:val="001F0A71"/>
    <w:rPr>
      <w:rFonts w:ascii="Century Schoolbook" w:hAnsi="Century Schoolbook"/>
      <w:i/>
      <w:spacing w:val="0"/>
      <w:sz w:val="15"/>
      <w:lang w:val="en-US" w:eastAsia="en-US"/>
    </w:rPr>
  </w:style>
  <w:style w:type="character" w:customStyle="1" w:styleId="doi">
    <w:name w:val="doi"/>
    <w:basedOn w:val="a0"/>
    <w:rsid w:val="001F0A71"/>
  </w:style>
  <w:style w:type="character" w:customStyle="1" w:styleId="citation-publication-date">
    <w:name w:val="citation-publication-date"/>
    <w:basedOn w:val="a0"/>
    <w:rsid w:val="001F0A71"/>
  </w:style>
  <w:style w:type="character" w:customStyle="1" w:styleId="authors-list-item">
    <w:name w:val="authors-list-item"/>
    <w:basedOn w:val="a0"/>
    <w:rsid w:val="001F0A71"/>
  </w:style>
  <w:style w:type="character" w:customStyle="1" w:styleId="comma">
    <w:name w:val="comma"/>
    <w:basedOn w:val="a0"/>
    <w:rsid w:val="001F0A71"/>
  </w:style>
  <w:style w:type="character" w:customStyle="1" w:styleId="period">
    <w:name w:val="period"/>
    <w:basedOn w:val="a0"/>
    <w:rsid w:val="001F0A71"/>
  </w:style>
  <w:style w:type="paragraph" w:styleId="3">
    <w:name w:val="Body Text Indent 3"/>
    <w:basedOn w:val="a"/>
    <w:link w:val="30"/>
    <w:uiPriority w:val="99"/>
    <w:unhideWhenUsed/>
    <w:rsid w:val="001F0A71"/>
    <w:pPr>
      <w:spacing w:after="120"/>
      <w:ind w:left="283"/>
    </w:pPr>
    <w:rPr>
      <w:sz w:val="16"/>
      <w:szCs w:val="16"/>
    </w:rPr>
  </w:style>
  <w:style w:type="character" w:customStyle="1" w:styleId="30">
    <w:name w:val="Основной текст с отступом 3 Знак"/>
    <w:basedOn w:val="a0"/>
    <w:link w:val="3"/>
    <w:uiPriority w:val="99"/>
    <w:rsid w:val="001F0A71"/>
    <w:rPr>
      <w:rFonts w:ascii="Calibri" w:eastAsia="Times New Roman" w:hAnsi="Calibri" w:cs="Times New Roman"/>
      <w:sz w:val="16"/>
      <w:szCs w:val="16"/>
      <w:lang w:val="ru-RU" w:eastAsia="ru-RU"/>
    </w:rPr>
  </w:style>
  <w:style w:type="character" w:customStyle="1" w:styleId="af5">
    <w:name w:val="Текст выноски Знак"/>
    <w:basedOn w:val="a0"/>
    <w:link w:val="af6"/>
    <w:uiPriority w:val="99"/>
    <w:semiHidden/>
    <w:rsid w:val="001F0A71"/>
    <w:rPr>
      <w:rFonts w:ascii="Segoe UI" w:eastAsia="Times New Roman" w:hAnsi="Segoe UI" w:cs="Segoe UI"/>
      <w:sz w:val="18"/>
      <w:szCs w:val="18"/>
      <w:lang w:val="ru-RU" w:eastAsia="ru-RU"/>
    </w:rPr>
  </w:style>
  <w:style w:type="paragraph" w:styleId="af6">
    <w:name w:val="Balloon Text"/>
    <w:basedOn w:val="a"/>
    <w:link w:val="af5"/>
    <w:uiPriority w:val="99"/>
    <w:semiHidden/>
    <w:unhideWhenUsed/>
    <w:rsid w:val="001F0A71"/>
    <w:pPr>
      <w:spacing w:after="0" w:line="240" w:lineRule="auto"/>
    </w:pPr>
    <w:rPr>
      <w:rFonts w:ascii="Segoe UI" w:hAnsi="Segoe UI" w:cs="Segoe UI"/>
      <w:sz w:val="18"/>
      <w:szCs w:val="18"/>
    </w:rPr>
  </w:style>
  <w:style w:type="character" w:styleId="af7">
    <w:name w:val="page number"/>
    <w:basedOn w:val="a0"/>
    <w:uiPriority w:val="99"/>
    <w:semiHidden/>
    <w:unhideWhenUsed/>
    <w:rsid w:val="007A536B"/>
  </w:style>
</w:styles>
</file>

<file path=word/webSettings.xml><?xml version="1.0" encoding="utf-8"?>
<w:webSettings xmlns:r="http://schemas.openxmlformats.org/officeDocument/2006/relationships" xmlns:w="http://schemas.openxmlformats.org/wordprocessingml/2006/main">
  <w:divs>
    <w:div w:id="72059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kicontrol.com.ua/atc-%D0%BA%D0%BB%D0%B0%D1%81%D0%B8%D1%84%D1%96%D0%BA%D0%B0%D1%86%D1%96%D1%8F/" TargetMode="External"/><Relationship Id="rId21" Type="http://schemas.openxmlformats.org/officeDocument/2006/relationships/image" Target="media/image12.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chart" Target="charts/chart1.xml"/><Relationship Id="rId63" Type="http://schemas.openxmlformats.org/officeDocument/2006/relationships/hyperlink" Target="https://www.ncbi.nlm.nih.gov/pubmed/27180033" TargetMode="External"/><Relationship Id="rId68" Type="http://schemas.openxmlformats.org/officeDocument/2006/relationships/hyperlink" Target="https://www.ncbi.nlm.nih.gov/pubmed/9506616/" TargetMode="External"/><Relationship Id="rId76" Type="http://schemas.openxmlformats.org/officeDocument/2006/relationships/hyperlink" Target="https://pubmed.ncbi.nlm.nih.gov/29670280/" TargetMode="External"/><Relationship Id="rId84" Type="http://schemas.openxmlformats.org/officeDocument/2006/relationships/hyperlink" Target="https://www.researchgate.net/journal/1528-4042_Current_Neurology_and_Neuroscience_Reports" TargetMode="External"/><Relationship Id="rId89" Type="http://schemas.openxmlformats.org/officeDocument/2006/relationships/image" Target="media/image38.jpe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mif-ua.com/archive/article/48254" TargetMode="External"/><Relationship Id="rId92"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footer" Target="footer1.xml"/><Relationship Id="rId11" Type="http://schemas.openxmlformats.org/officeDocument/2006/relationships/oleObject" Target="embeddings/oleObject2.bin"/><Relationship Id="rId24" Type="http://schemas.openxmlformats.org/officeDocument/2006/relationships/hyperlink" Target="http://mozdocs.kiev.ua/liki.php?nav=2&amp;phgroup=99"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https://www.umj.com.ua/article/magazine/134-xi-xii-1" TargetMode="External"/><Relationship Id="rId66" Type="http://schemas.openxmlformats.org/officeDocument/2006/relationships/hyperlink" Target="https://www.ncbi.nlm.nih.gov/entrez/eutils/elink.fcgi?dbfrom=pubmed&amp;retmode=ref&amp;cmd=prlinks&amp;id=22974648" TargetMode="External"/><Relationship Id="rId74" Type="http://schemas.openxmlformats.org/officeDocument/2006/relationships/hyperlink" Target="https://www.ncbi.nlm.nih.gov/pmc/articles/PMC6422964/" TargetMode="External"/><Relationship Id="rId79" Type="http://schemas.openxmlformats.org/officeDocument/2006/relationships/hyperlink" Target="https://pubmed.ncbi.nlm.nih.gov/27604729/" TargetMode="External"/><Relationship Id="rId87" Type="http://schemas.openxmlformats.org/officeDocument/2006/relationships/hyperlink" Target="https://pubmed.ncbi.nlm.nih.gov/?term=Eizenberg+Y&amp;cauthor_id=29520943" TargetMode="External"/><Relationship Id="rId5" Type="http://schemas.openxmlformats.org/officeDocument/2006/relationships/footnotes" Target="footnotes.xml"/><Relationship Id="rId61" Type="http://schemas.openxmlformats.org/officeDocument/2006/relationships/hyperlink" Target="https://molecularbrain.biomedcentral.com/articles/10.1186/s13041-018-0357-8" TargetMode="External"/><Relationship Id="rId82" Type="http://schemas.openxmlformats.org/officeDocument/2006/relationships/hyperlink" Target="https://www.researchgate.net/profile/Verena_Rass2" TargetMode="External"/><Relationship Id="rId90" Type="http://schemas.openxmlformats.org/officeDocument/2006/relationships/image" Target="media/image39.jpeg"/><Relationship Id="rId95" Type="http://schemas.openxmlformats.org/officeDocument/2006/relationships/header" Target="header3.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hyperlink" Target="http://compendium.com.ua/atc/N04" TargetMode="External"/><Relationship Id="rId27" Type="http://schemas.openxmlformats.org/officeDocument/2006/relationships/header" Target="header1.xml"/><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hyperlink" Target="https://www.ncbi.nlm.nih.gov/pubmed/?term=Caceres%20JA%5BAuthor%5D&amp;cauthor=true&amp;cauthor_uid=22974648" TargetMode="External"/><Relationship Id="rId69" Type="http://schemas.openxmlformats.org/officeDocument/2006/relationships/hyperlink" Target="https://www.ncbi.nlm.nih.gov/pubmed/11831548/" TargetMode="External"/><Relationship Id="rId77" Type="http://schemas.openxmlformats.org/officeDocument/2006/relationships/hyperlink" Target="https://pubmed.ncbi.nlm.nih.gov/30852968/" TargetMode="External"/><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hyperlink" Target="https://doi.org/10.22141/2224-0586.6.101.2019.179599" TargetMode="External"/><Relationship Id="rId80" Type="http://schemas.openxmlformats.org/officeDocument/2006/relationships/hyperlink" Target="https://www.ncbi.nlm.nih.gov/pubmed/?term=Manaenko%20A%5BAuthor%5D&amp;cauthor=true&amp;cauthor_uid=21725724" TargetMode="External"/><Relationship Id="rId85" Type="http://schemas.openxmlformats.org/officeDocument/2006/relationships/hyperlink" Target="https://pubmed.ncbi.nlm.nih.gov/?term=Luo+H&amp;cauthor_id=28499220" TargetMode="External"/><Relationship Id="rId93"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likicontrol.com.ua/atc-%D0%BA%D0%BB%D0%B0%D1%81%D0%B8%D1%84%D1%96%D0%BA%D0%B0%D1%86%D1%96%D1%8F/" TargetMode="Externa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www.umj.com.ua/wp/wp-content/uploads/2019/11/AkadInsult_new.pdf?upload=" TargetMode="External"/><Relationship Id="rId67" Type="http://schemas.openxmlformats.org/officeDocument/2006/relationships/hyperlink" Target="https://www.ncbi.nlm.nih.gov/pubmed/21527759/" TargetMode="External"/><Relationship Id="rId20" Type="http://schemas.openxmlformats.org/officeDocument/2006/relationships/image" Target="media/image11.jpeg"/><Relationship Id="rId41" Type="http://schemas.openxmlformats.org/officeDocument/2006/relationships/image" Target="media/image24.png"/><Relationship Id="rId54" Type="http://schemas.openxmlformats.org/officeDocument/2006/relationships/footer" Target="footer2.xml"/><Relationship Id="rId62" Type="http://schemas.openxmlformats.org/officeDocument/2006/relationships/hyperlink" Target="https://www.ncbi.nlm.nih.gov/pubmed/?term=Chamorro%20%C3%81%5BAuthor%5D&amp;cauthor=true&amp;cauthor_uid=27180033" TargetMode="External"/><Relationship Id="rId70" Type="http://schemas.openxmlformats.org/officeDocument/2006/relationships/hyperlink" Target="https://www.ncbi.nlm.nih.gov/pubmed/24361499/" TargetMode="External"/><Relationship Id="rId75" Type="http://schemas.openxmlformats.org/officeDocument/2006/relationships/hyperlink" Target="http://www.mif-ua.com/archive/article/14305" TargetMode="External"/><Relationship Id="rId83" Type="http://schemas.openxmlformats.org/officeDocument/2006/relationships/hyperlink" Target="https://www.researchgate.net/scientific-contributions/38357396_Raimund_Helbok" TargetMode="External"/><Relationship Id="rId88" Type="http://schemas.openxmlformats.org/officeDocument/2006/relationships/hyperlink" Target="https://pubmed.ncbi.nlm.nih.gov/?term=Chalouhi+N&amp;cauthor_id=26799296" TargetMode="External"/><Relationship Id="rId91" Type="http://schemas.openxmlformats.org/officeDocument/2006/relationships/image" Target="media/image40.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compendium.com.ua/atc/B05" TargetMode="External"/><Relationship Id="rId28" Type="http://schemas.openxmlformats.org/officeDocument/2006/relationships/header" Target="header2.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www.umj.com.ua/article/164192/akademiya-insultu-suchasni-metodi-borotbi-z-insultom-v-ukrayini-ta-sviti" TargetMode="External"/><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pubmed.ncbi.nlm.nih.gov/29534733/" TargetMode="External"/><Relationship Id="rId65" Type="http://schemas.openxmlformats.org/officeDocument/2006/relationships/hyperlink" Target="https://www.ncbi.nlm.nih.gov/pubmed/?term=Goldstein%20JN%5BAuthor%5D&amp;cauthor=true&amp;cauthor_uid=22974648" TargetMode="External"/><Relationship Id="rId73" Type="http://schemas.openxmlformats.org/officeDocument/2006/relationships/hyperlink" Target="https://www.ncbi.nlm.nih.gov/pmc/articles/PMC6741751/" TargetMode="External"/><Relationship Id="rId7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1341" TargetMode="External"/><Relationship Id="rId81" Type="http://schemas.openxmlformats.org/officeDocument/2006/relationships/hyperlink" Target="https://pubmed.ncbi.nlm.nih.gov/?term=Frontera+JA&amp;cauthor_id=27430874" TargetMode="External"/><Relationship Id="rId86" Type="http://schemas.openxmlformats.org/officeDocument/2006/relationships/hyperlink" Target="https://pubmed.ncbi.nlm.nih.gov/?term=Sykora+M&amp;cauthor_id=28869294" TargetMode="External"/><Relationship Id="rId94"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9.jpeg"/><Relationship Id="rId39" Type="http://schemas.openxmlformats.org/officeDocument/2006/relationships/image" Target="media/image2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atalia\Desktop\&#1055;&#1045;&#1056;&#1042;&#1048;&#1063;&#1050;&#1040;\&#1055;&#1088;&#1086;&#1090;&#1086;&#1082;&#1086;&#1083;&#1099;\&#1041;&#1077;&#1083;&#1086;&#1082;%20S%20100,%20NSE,%20&#1082;&#1086;&#1088;&#1090;&#1080;&#1079;&#1086;&#1083;,%20&#1075;&#1083;&#1091;&#1090;&#1072;&#1084;&#1072;&#1090;,%20&#1072;&#1087;&#1086;&#1087;&#1090;&#1086;&#107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lang="uk-UA" sz="1400" b="1" i="0" u="none" strike="noStrike" kern="1200" spc="0" baseline="0">
                <a:solidFill>
                  <a:sysClr val="windowText" lastClr="000000"/>
                </a:solidFill>
                <a:latin typeface="Times New Roman" panose="02020603050405020304" pitchFamily="18" charset="0"/>
                <a:ea typeface="+mn-ea"/>
                <a:cs typeface="+mn-cs"/>
              </a:defRPr>
            </a:pPr>
            <a:r>
              <a:rPr lang="ru-RU" b="1" i="0" baseline="0">
                <a:solidFill>
                  <a:sysClr val="windowText" lastClr="000000"/>
                </a:solidFill>
                <a:latin typeface="Times New Roman" panose="02020603050405020304" pitchFamily="18" charset="0"/>
              </a:rPr>
              <a:t>Глутамат, нмоль/мг протеїну</a:t>
            </a:r>
          </a:p>
        </c:rich>
      </c:tx>
      <c:spPr>
        <a:noFill/>
        <a:ln>
          <a:noFill/>
        </a:ln>
        <a:effectLst/>
      </c:spPr>
    </c:title>
    <c:plotArea>
      <c:layout>
        <c:manualLayout>
          <c:layoutTarget val="inner"/>
          <c:xMode val="edge"/>
          <c:yMode val="edge"/>
          <c:x val="0.27132627952755922"/>
          <c:y val="0.12805280528052801"/>
          <c:w val="0.7015903871391076"/>
          <c:h val="0.73766759353100664"/>
        </c:manualLayout>
      </c:layout>
      <c:barChart>
        <c:barDir val="bar"/>
        <c:grouping val="clustered"/>
        <c:ser>
          <c:idx val="0"/>
          <c:order val="0"/>
          <c:spPr>
            <a:pattFill prst="pct10">
              <a:fgClr>
                <a:schemeClr val="accent1"/>
              </a:fgClr>
              <a:bgClr>
                <a:schemeClr val="bg1"/>
              </a:bgClr>
            </a:pattFill>
            <a:ln>
              <a:solidFill>
                <a:schemeClr val="tx1"/>
              </a:solidFill>
            </a:ln>
            <a:effectLst/>
          </c:spPr>
          <c:dPt>
            <c:idx val="0"/>
            <c:spPr>
              <a:pattFill prst="pct20">
                <a:fgClr>
                  <a:schemeClr val="tx1"/>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1-DE23-4AD2-80E3-0B82B5CFEE1F}"/>
              </c:ext>
            </c:extLst>
          </c:dPt>
          <c:dPt>
            <c:idx val="1"/>
            <c:spPr>
              <a:solidFill>
                <a:schemeClr val="bg1">
                  <a:lumMod val="85000"/>
                </a:schemeClr>
              </a:solidFill>
              <a:ln>
                <a:solidFill>
                  <a:schemeClr val="tx1"/>
                </a:solidFill>
              </a:ln>
              <a:effectLst/>
            </c:spPr>
            <c:extLst xmlns:c16r2="http://schemas.microsoft.com/office/drawing/2015/06/chart">
              <c:ext xmlns:c16="http://schemas.microsoft.com/office/drawing/2014/chart" uri="{C3380CC4-5D6E-409C-BE32-E72D297353CC}">
                <c16:uniqueId val="{00000003-DE23-4AD2-80E3-0B82B5CFEE1F}"/>
              </c:ext>
            </c:extLst>
          </c:dPt>
          <c:dPt>
            <c:idx val="2"/>
            <c:spPr>
              <a:pattFill prst="wdDnDiag">
                <a:fgClr>
                  <a:schemeClr val="tx1"/>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5-DE23-4AD2-80E3-0B82B5CFEE1F}"/>
              </c:ext>
            </c:extLst>
          </c:dPt>
          <c:dPt>
            <c:idx val="3"/>
            <c:spPr>
              <a:solidFill>
                <a:schemeClr val="tx1"/>
              </a:solidFill>
              <a:ln>
                <a:solidFill>
                  <a:schemeClr val="tx1"/>
                </a:solidFill>
              </a:ln>
              <a:effectLst/>
            </c:spPr>
            <c:extLst xmlns:c16r2="http://schemas.microsoft.com/office/drawing/2015/06/chart">
              <c:ext xmlns:c16="http://schemas.microsoft.com/office/drawing/2014/chart" uri="{C3380CC4-5D6E-409C-BE32-E72D297353CC}">
                <c16:uniqueId val="{00000007-DE23-4AD2-80E3-0B82B5CFEE1F}"/>
              </c:ext>
            </c:extLst>
          </c:dPt>
          <c:dPt>
            <c:idx val="4"/>
            <c:spPr>
              <a:pattFill prst="dkVert">
                <a:fgClr>
                  <a:schemeClr val="tx1"/>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9-DE23-4AD2-80E3-0B82B5CFEE1F}"/>
              </c:ext>
            </c:extLst>
          </c:dPt>
          <c:dPt>
            <c:idx val="5"/>
            <c:spPr>
              <a:pattFill prst="lgConfetti">
                <a:fgClr>
                  <a:schemeClr val="tx1"/>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B-DE23-4AD2-80E3-0B82B5CFEE1F}"/>
              </c:ext>
            </c:extLst>
          </c:dPt>
          <c:dLbls>
            <c:dLbl>
              <c:idx val="0"/>
              <c:layout>
                <c:manualLayout>
                  <c:x val="3.1250000000000014E-2"/>
                  <c:y val="-4.400440044004402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E23-4AD2-80E3-0B82B5CFEE1F}"/>
                </c:ext>
              </c:extLst>
            </c:dLbl>
            <c:dLbl>
              <c:idx val="1"/>
              <c:layout>
                <c:manualLayout>
                  <c:x val="4.2865200225606179E-2"/>
                  <c:y val="8.800880088008725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E23-4AD2-80E3-0B82B5CFEE1F}"/>
                </c:ext>
              </c:extLst>
            </c:dLbl>
            <c:dLbl>
              <c:idx val="2"/>
              <c:layout>
                <c:manualLayout>
                  <c:x val="4.0609137055837491E-2"/>
                  <c:y val="4.400440044004402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23-4AD2-80E3-0B82B5CFEE1F}"/>
                </c:ext>
              </c:extLst>
            </c:dLbl>
            <c:dLbl>
              <c:idx val="3"/>
              <c:layout>
                <c:manualLayout>
                  <c:x val="4.9633389734912499E-2"/>
                  <c:y val="4.400440044004402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E23-4AD2-80E3-0B82B5CFEE1F}"/>
                </c:ext>
              </c:extLst>
            </c:dLbl>
            <c:dLbl>
              <c:idx val="4"/>
              <c:layout>
                <c:manualLayout>
                  <c:x val="4.0609137055837671E-2"/>
                  <c:y val="4.400440044004402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E23-4AD2-80E3-0B82B5CFEE1F}"/>
                </c:ext>
              </c:extLst>
            </c:dLbl>
            <c:dLbl>
              <c:idx val="5"/>
              <c:layout>
                <c:manualLayout>
                  <c:x val="6.2365516613262471E-2"/>
                  <c:y val="3.4632034632034636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E23-4AD2-80E3-0B82B5CFEE1F}"/>
                </c:ext>
              </c:extLst>
            </c:dLbl>
            <c:spPr>
              <a:noFill/>
              <a:ln>
                <a:noFill/>
              </a:ln>
              <a:effectLst/>
            </c:spPr>
            <c:txPr>
              <a:bodyPr rot="0" spcFirstLastPara="1" vertOverflow="ellipsis" vert="horz" wrap="square" lIns="38100" tIns="19050" rIns="38100" bIns="19050" anchor="ctr" anchorCtr="1">
                <a:spAutoFit/>
              </a:bodyPr>
              <a:lstStyle/>
              <a:p>
                <a:pPr>
                  <a:defRPr lang="uk-UA"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spPr>
              <a:noFill/>
              <a:ln w="9525" cap="flat" cmpd="sng" algn="ctr">
                <a:solidFill>
                  <a:schemeClr val="tx1">
                    <a:lumMod val="65000"/>
                    <a:lumOff val="35000"/>
                  </a:schemeClr>
                </a:solidFill>
                <a:round/>
              </a:ln>
              <a:effectLst/>
            </c:spPr>
          </c:errBars>
          <c:cat>
            <c:strRef>
              <c:f>Глутамат!$U$26:$U$31</c:f>
              <c:strCache>
                <c:ptCount val="6"/>
                <c:pt idx="0">
                  <c:v>Псеводооперовані </c:v>
                </c:pt>
                <c:pt idx="1">
                  <c:v>ВМК+NaCl</c:v>
                </c:pt>
                <c:pt idx="2">
                  <c:v>ВМК+адемол</c:v>
                </c:pt>
                <c:pt idx="3">
                  <c:v>ВМК+німодипін</c:v>
                </c:pt>
                <c:pt idx="4">
                  <c:v>ВМК+амантадин</c:v>
                </c:pt>
                <c:pt idx="5">
                  <c:v>ВМК+магнію сульфат</c:v>
                </c:pt>
              </c:strCache>
            </c:strRef>
          </c:cat>
          <c:val>
            <c:numRef>
              <c:f>Глутамат!$V$26:$V$31</c:f>
              <c:numCache>
                <c:formatCode>General</c:formatCode>
                <c:ptCount val="6"/>
                <c:pt idx="0">
                  <c:v>12.8</c:v>
                </c:pt>
                <c:pt idx="1">
                  <c:v>31.5</c:v>
                </c:pt>
                <c:pt idx="2">
                  <c:v>16.3</c:v>
                </c:pt>
                <c:pt idx="3">
                  <c:v>14.8</c:v>
                </c:pt>
                <c:pt idx="4">
                  <c:v>17.7</c:v>
                </c:pt>
                <c:pt idx="5">
                  <c:v>22</c:v>
                </c:pt>
              </c:numCache>
            </c:numRef>
          </c:val>
          <c:extLst xmlns:c16r2="http://schemas.microsoft.com/office/drawing/2015/06/chart">
            <c:ext xmlns:c16="http://schemas.microsoft.com/office/drawing/2014/chart" uri="{C3380CC4-5D6E-409C-BE32-E72D297353CC}">
              <c16:uniqueId val="{0000000C-DE23-4AD2-80E3-0B82B5CFEE1F}"/>
            </c:ext>
          </c:extLst>
        </c:ser>
        <c:gapWidth val="126"/>
        <c:axId val="152084480"/>
        <c:axId val="152086016"/>
      </c:barChart>
      <c:catAx>
        <c:axId val="152084480"/>
        <c:scaling>
          <c:orientation val="minMax"/>
        </c:scaling>
        <c:axPos val="l"/>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uk-UA"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086016"/>
        <c:crosses val="autoZero"/>
        <c:lblAlgn val="ctr"/>
        <c:lblOffset val="100"/>
      </c:catAx>
      <c:valAx>
        <c:axId val="152086016"/>
        <c:scaling>
          <c:orientation val="minMax"/>
        </c:scaling>
        <c:axPos val="b"/>
        <c:majorGridlines>
          <c:spPr>
            <a:ln w="9525" cap="flat" cmpd="sng" algn="ctr">
              <a:solidFill>
                <a:schemeClr val="tx1"/>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uk-UA"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08448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0.92271</cdr:x>
      <cdr:y>0.61818</cdr:y>
    </cdr:from>
    <cdr:to>
      <cdr:x>0.97476</cdr:x>
      <cdr:y>0.69091</cdr:y>
    </cdr:to>
    <cdr:sp macro="" textlink="">
      <cdr:nvSpPr>
        <cdr:cNvPr id="3" name="Надпись 2"/>
        <cdr:cNvSpPr txBox="1"/>
      </cdr:nvSpPr>
      <cdr:spPr>
        <a:xfrm xmlns:a="http://schemas.openxmlformats.org/drawingml/2006/main">
          <a:off x="5572125" y="2266951"/>
          <a:ext cx="31432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0.71661</cdr:x>
      <cdr:y>0.12554</cdr:y>
    </cdr:from>
    <cdr:to>
      <cdr:x>0.76866</cdr:x>
      <cdr:y>0.19827</cdr:y>
    </cdr:to>
    <cdr:sp macro="" textlink="">
      <cdr:nvSpPr>
        <cdr:cNvPr id="4" name="Надпись 1"/>
        <cdr:cNvSpPr txBox="1"/>
      </cdr:nvSpPr>
      <cdr:spPr>
        <a:xfrm xmlns:a="http://schemas.openxmlformats.org/drawingml/2006/main">
          <a:off x="4327525" y="460376"/>
          <a:ext cx="314325"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0.63144</cdr:x>
      <cdr:y>0.26061</cdr:y>
    </cdr:from>
    <cdr:to>
      <cdr:x>0.68349</cdr:x>
      <cdr:y>0.33333</cdr:y>
    </cdr:to>
    <cdr:sp macro="" textlink="">
      <cdr:nvSpPr>
        <cdr:cNvPr id="5" name="Надпись 1"/>
        <cdr:cNvSpPr txBox="1"/>
      </cdr:nvSpPr>
      <cdr:spPr>
        <a:xfrm xmlns:a="http://schemas.openxmlformats.org/drawingml/2006/main">
          <a:off x="3813175" y="955676"/>
          <a:ext cx="314325"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0.60463</cdr:x>
      <cdr:y>0.51515</cdr:y>
    </cdr:from>
    <cdr:to>
      <cdr:x>0.65668</cdr:x>
      <cdr:y>0.58788</cdr:y>
    </cdr:to>
    <cdr:sp macro="" textlink="">
      <cdr:nvSpPr>
        <cdr:cNvPr id="6" name="Надпись 1"/>
        <cdr:cNvSpPr txBox="1"/>
      </cdr:nvSpPr>
      <cdr:spPr>
        <a:xfrm xmlns:a="http://schemas.openxmlformats.org/drawingml/2006/main">
          <a:off x="3651250" y="1889126"/>
          <a:ext cx="314325"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0.06782</cdr:x>
      <cdr:y>0.04675</cdr:y>
    </cdr:from>
    <cdr:to>
      <cdr:x>0.14826</cdr:x>
      <cdr:y>0.11429</cdr:y>
    </cdr:to>
    <cdr:sp macro="" textlink="">
      <cdr:nvSpPr>
        <cdr:cNvPr id="7" name="Надпись 6"/>
        <cdr:cNvSpPr txBox="1"/>
      </cdr:nvSpPr>
      <cdr:spPr>
        <a:xfrm xmlns:a="http://schemas.openxmlformats.org/drawingml/2006/main">
          <a:off x="409575" y="171450"/>
          <a:ext cx="4857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0.53628</cdr:x>
      <cdr:y>0.75325</cdr:y>
    </cdr:from>
    <cdr:to>
      <cdr:x>0.56782</cdr:x>
      <cdr:y>0.81558</cdr:y>
    </cdr:to>
    <cdr:sp macro="" textlink="">
      <cdr:nvSpPr>
        <cdr:cNvPr id="9" name="Надпись 8"/>
        <cdr:cNvSpPr txBox="1"/>
      </cdr:nvSpPr>
      <cdr:spPr>
        <a:xfrm xmlns:a="http://schemas.openxmlformats.org/drawingml/2006/main">
          <a:off x="3238500" y="2762250"/>
          <a:ext cx="1905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Calibri" panose="020F0502020204030204" pitchFamily="34" charset="0"/>
              <a:cs typeface="Calibri" panose="020F0502020204030204" pitchFamily="34" charset="0"/>
            </a:rPr>
            <a:t>#</a:t>
          </a:r>
          <a:endParaRPr lang="ru-RU" sz="1100"/>
        </a:p>
      </cdr:txBody>
    </cdr:sp>
  </cdr:relSizeAnchor>
  <cdr:relSizeAnchor xmlns:cdr="http://schemas.openxmlformats.org/drawingml/2006/chartDrawing">
    <cdr:from>
      <cdr:x>0.0857</cdr:x>
      <cdr:y>0.03723</cdr:y>
    </cdr:from>
    <cdr:to>
      <cdr:x>0.11725</cdr:x>
      <cdr:y>0.09957</cdr:y>
    </cdr:to>
    <cdr:sp macro="" textlink="">
      <cdr:nvSpPr>
        <cdr:cNvPr id="10" name="Надпись 1"/>
        <cdr:cNvSpPr txBox="1"/>
      </cdr:nvSpPr>
      <cdr:spPr>
        <a:xfrm xmlns:a="http://schemas.openxmlformats.org/drawingml/2006/main">
          <a:off x="517525" y="136525"/>
          <a:ext cx="19050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a:p>
      </cdr:txBody>
    </cdr:sp>
  </cdr:relSizeAnchor>
  <cdr:relSizeAnchor xmlns:cdr="http://schemas.openxmlformats.org/drawingml/2006/chartDrawing">
    <cdr:from>
      <cdr:x>0.72766</cdr:x>
      <cdr:y>0.17229</cdr:y>
    </cdr:from>
    <cdr:to>
      <cdr:x>0.7592</cdr:x>
      <cdr:y>0.23463</cdr:y>
    </cdr:to>
    <cdr:sp macro="" textlink="">
      <cdr:nvSpPr>
        <cdr:cNvPr id="11" name="Надпись 1"/>
        <cdr:cNvSpPr txBox="1"/>
      </cdr:nvSpPr>
      <cdr:spPr>
        <a:xfrm xmlns:a="http://schemas.openxmlformats.org/drawingml/2006/main">
          <a:off x="4394200" y="631825"/>
          <a:ext cx="19050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Calibri" panose="020F0502020204030204" pitchFamily="34" charset="0"/>
              <a:cs typeface="Calibri" panose="020F0502020204030204" pitchFamily="34" charset="0"/>
            </a:rPr>
            <a:t>#</a:t>
          </a:r>
          <a:endParaRPr lang="ru-RU" sz="1100"/>
        </a:p>
      </cdr:txBody>
    </cdr:sp>
  </cdr:relSizeAnchor>
  <cdr:relSizeAnchor xmlns:cdr="http://schemas.openxmlformats.org/drawingml/2006/chartDrawing">
    <cdr:from>
      <cdr:x>0.63617</cdr:x>
      <cdr:y>0.28658</cdr:y>
    </cdr:from>
    <cdr:to>
      <cdr:x>0.66772</cdr:x>
      <cdr:y>0.34892</cdr:y>
    </cdr:to>
    <cdr:sp macro="" textlink="">
      <cdr:nvSpPr>
        <cdr:cNvPr id="12" name="Надпись 1"/>
        <cdr:cNvSpPr txBox="1"/>
      </cdr:nvSpPr>
      <cdr:spPr>
        <a:xfrm xmlns:a="http://schemas.openxmlformats.org/drawingml/2006/main">
          <a:off x="3841750" y="1050925"/>
          <a:ext cx="19050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Calibri" panose="020F0502020204030204" pitchFamily="34" charset="0"/>
              <a:cs typeface="Calibri" panose="020F0502020204030204" pitchFamily="34" charset="0"/>
            </a:rPr>
            <a:t>#</a:t>
          </a:r>
          <a:endParaRPr lang="ru-RU" sz="1100"/>
        </a:p>
      </cdr:txBody>
    </cdr:sp>
  </cdr:relSizeAnchor>
  <cdr:relSizeAnchor xmlns:cdr="http://schemas.openxmlformats.org/drawingml/2006/chartDrawing">
    <cdr:from>
      <cdr:x>0.5857</cdr:x>
      <cdr:y>0.40606</cdr:y>
    </cdr:from>
    <cdr:to>
      <cdr:x>0.61725</cdr:x>
      <cdr:y>0.4684</cdr:y>
    </cdr:to>
    <cdr:sp macro="" textlink="">
      <cdr:nvSpPr>
        <cdr:cNvPr id="13" name="Надпись 1"/>
        <cdr:cNvSpPr txBox="1"/>
      </cdr:nvSpPr>
      <cdr:spPr>
        <a:xfrm xmlns:a="http://schemas.openxmlformats.org/drawingml/2006/main">
          <a:off x="3536950" y="1489075"/>
          <a:ext cx="19050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Calibri" panose="020F0502020204030204" pitchFamily="34" charset="0"/>
              <a:cs typeface="Calibri" panose="020F0502020204030204" pitchFamily="34" charset="0"/>
            </a:rPr>
            <a:t>#</a:t>
          </a:r>
          <a:endParaRPr lang="ru-RU" sz="1100"/>
        </a:p>
      </cdr:txBody>
    </cdr:sp>
  </cdr:relSizeAnchor>
  <cdr:relSizeAnchor xmlns:cdr="http://schemas.openxmlformats.org/drawingml/2006/chartDrawing">
    <cdr:from>
      <cdr:x>0.61094</cdr:x>
      <cdr:y>0.53853</cdr:y>
    </cdr:from>
    <cdr:to>
      <cdr:x>0.64248</cdr:x>
      <cdr:y>0.60087</cdr:y>
    </cdr:to>
    <cdr:sp macro="" textlink="">
      <cdr:nvSpPr>
        <cdr:cNvPr id="14" name="Надпись 1"/>
        <cdr:cNvSpPr txBox="1"/>
      </cdr:nvSpPr>
      <cdr:spPr>
        <a:xfrm xmlns:a="http://schemas.openxmlformats.org/drawingml/2006/main">
          <a:off x="3689350" y="1974850"/>
          <a:ext cx="19050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Calibri" panose="020F0502020204030204" pitchFamily="34" charset="0"/>
              <a:cs typeface="Calibri" panose="020F0502020204030204" pitchFamily="34" charset="0"/>
            </a:rPr>
            <a:t>#</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1254</TotalTime>
  <Pages>178</Pages>
  <Words>44284</Words>
  <Characters>252423</Characters>
  <Application>Microsoft Office Word</Application>
  <DocSecurity>0</DocSecurity>
  <Lines>2103</Lines>
  <Paragraphs>592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296115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k201_user</cp:lastModifiedBy>
  <cp:revision>17</cp:revision>
  <cp:lastPrinted>2021-04-01T11:42:00Z</cp:lastPrinted>
  <dcterms:created xsi:type="dcterms:W3CDTF">2021-04-01T16:03:00Z</dcterms:created>
  <dcterms:modified xsi:type="dcterms:W3CDTF">2021-04-05T07:26:00Z</dcterms:modified>
</cp:coreProperties>
</file>